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3962F" w14:textId="33445CFE" w:rsidR="00A72F88" w:rsidRPr="009C5486" w:rsidRDefault="00A72F88" w:rsidP="009C5486">
      <w:pPr>
        <w:pStyle w:val="Rubrik1"/>
        <w:rPr>
          <w:sz w:val="24"/>
          <w:szCs w:val="24"/>
        </w:rPr>
      </w:pPr>
      <w:r w:rsidRPr="009C5486">
        <w:rPr>
          <w:sz w:val="24"/>
          <w:szCs w:val="24"/>
        </w:rPr>
        <w:t>Uppföljningsmatris av rekommendationer från kommittén för ekonomiska, sociala och</w:t>
      </w:r>
      <w:r w:rsidR="009C5486" w:rsidRPr="009C5486">
        <w:rPr>
          <w:sz w:val="24"/>
          <w:szCs w:val="24"/>
        </w:rPr>
        <w:t xml:space="preserve"> kulturella rättigheter, 2024:</w:t>
      </w:r>
    </w:p>
    <w:tbl>
      <w:tblPr>
        <w:tblStyle w:val="Tabellrutnt"/>
        <w:tblW w:w="16047" w:type="dxa"/>
        <w:tblInd w:w="-1026" w:type="dxa"/>
        <w:tblLayout w:type="fixed"/>
        <w:tblLook w:val="04A0" w:firstRow="1" w:lastRow="0" w:firstColumn="1" w:lastColumn="0" w:noHBand="0" w:noVBand="1"/>
      </w:tblPr>
      <w:tblGrid>
        <w:gridCol w:w="850"/>
        <w:gridCol w:w="6663"/>
        <w:gridCol w:w="1134"/>
        <w:gridCol w:w="7400"/>
      </w:tblGrid>
      <w:tr w:rsidR="008C448D" w:rsidRPr="00643F4B" w14:paraId="02EA033B" w14:textId="326BDE72" w:rsidTr="008C448D">
        <w:tc>
          <w:tcPr>
            <w:tcW w:w="850" w:type="dxa"/>
          </w:tcPr>
          <w:p w14:paraId="30FDB34F" w14:textId="6E868761" w:rsidR="008C448D" w:rsidRPr="00643F4B" w:rsidRDefault="008C448D" w:rsidP="00E3224A">
            <w:pPr>
              <w:rPr>
                <w:b/>
                <w:bCs/>
              </w:rPr>
            </w:pPr>
            <w:r w:rsidRPr="00643F4B">
              <w:rPr>
                <w:b/>
                <w:bCs/>
              </w:rPr>
              <w:t>§</w:t>
            </w:r>
          </w:p>
        </w:tc>
        <w:tc>
          <w:tcPr>
            <w:tcW w:w="6663" w:type="dxa"/>
          </w:tcPr>
          <w:p w14:paraId="0FD4BC56" w14:textId="7082E593" w:rsidR="008C448D" w:rsidRPr="00643F4B" w:rsidRDefault="008C448D" w:rsidP="00E3224A">
            <w:pPr>
              <w:rPr>
                <w:b/>
                <w:bCs/>
              </w:rPr>
            </w:pPr>
            <w:r w:rsidRPr="00643F4B">
              <w:rPr>
                <w:b/>
                <w:bCs/>
              </w:rPr>
              <w:t>Rekommendation</w:t>
            </w:r>
          </w:p>
        </w:tc>
        <w:tc>
          <w:tcPr>
            <w:tcW w:w="1134" w:type="dxa"/>
          </w:tcPr>
          <w:p w14:paraId="6F49F286" w14:textId="77777777" w:rsidR="008C448D" w:rsidRPr="00643F4B" w:rsidRDefault="008C448D" w:rsidP="00E3224A">
            <w:pPr>
              <w:rPr>
                <w:b/>
                <w:bCs/>
              </w:rPr>
            </w:pPr>
            <w:r w:rsidRPr="00643F4B">
              <w:rPr>
                <w:b/>
                <w:bCs/>
              </w:rPr>
              <w:t xml:space="preserve">Artikel </w:t>
            </w:r>
          </w:p>
        </w:tc>
        <w:tc>
          <w:tcPr>
            <w:tcW w:w="7400" w:type="dxa"/>
          </w:tcPr>
          <w:p w14:paraId="7BD476DE" w14:textId="77777777" w:rsidR="008C448D" w:rsidRPr="00643F4B" w:rsidRDefault="008C448D" w:rsidP="00E3224A">
            <w:pPr>
              <w:rPr>
                <w:b/>
                <w:bCs/>
              </w:rPr>
            </w:pPr>
            <w:r w:rsidRPr="00643F4B">
              <w:rPr>
                <w:b/>
                <w:bCs/>
              </w:rPr>
              <w:t>Förslag till åtgärder</w:t>
            </w:r>
          </w:p>
          <w:p w14:paraId="6F418D15" w14:textId="4CCC6EFA" w:rsidR="00643F4B" w:rsidRPr="00643F4B" w:rsidRDefault="00643F4B" w:rsidP="00E3224A">
            <w:pPr>
              <w:rPr>
                <w:b/>
                <w:bCs/>
              </w:rPr>
            </w:pPr>
          </w:p>
        </w:tc>
      </w:tr>
      <w:tr w:rsidR="008C448D" w:rsidRPr="001B1869" w14:paraId="105C592B" w14:textId="77777777" w:rsidTr="008C448D">
        <w:tc>
          <w:tcPr>
            <w:tcW w:w="850" w:type="dxa"/>
            <w:shd w:val="clear" w:color="auto" w:fill="ACB9CA" w:themeFill="text2" w:themeFillTint="66"/>
          </w:tcPr>
          <w:p w14:paraId="5F4ED0D1" w14:textId="77777777" w:rsidR="008C448D" w:rsidRPr="0036345F" w:rsidRDefault="008C448D" w:rsidP="00E3224A">
            <w:pPr>
              <w:rPr>
                <w:highlight w:val="yellow"/>
              </w:rPr>
            </w:pPr>
          </w:p>
        </w:tc>
        <w:tc>
          <w:tcPr>
            <w:tcW w:w="6663" w:type="dxa"/>
            <w:shd w:val="clear" w:color="auto" w:fill="ACB9CA" w:themeFill="text2" w:themeFillTint="66"/>
          </w:tcPr>
          <w:p w14:paraId="6DADCF8B" w14:textId="094AD249" w:rsidR="008C448D" w:rsidRPr="0007364C" w:rsidRDefault="008C448D" w:rsidP="0007364C">
            <w:pPr>
              <w:rPr>
                <w:b/>
              </w:rPr>
            </w:pPr>
            <w:r w:rsidRPr="0007364C">
              <w:rPr>
                <w:b/>
              </w:rPr>
              <w:t xml:space="preserve">Nationell tillämpning av konventionen </w:t>
            </w:r>
          </w:p>
        </w:tc>
        <w:tc>
          <w:tcPr>
            <w:tcW w:w="1134" w:type="dxa"/>
            <w:shd w:val="clear" w:color="auto" w:fill="ACB9CA" w:themeFill="text2" w:themeFillTint="66"/>
          </w:tcPr>
          <w:p w14:paraId="3FFFFDBC" w14:textId="77777777" w:rsidR="008C448D" w:rsidRPr="00A80811" w:rsidRDefault="008C448D" w:rsidP="00E3224A"/>
        </w:tc>
        <w:tc>
          <w:tcPr>
            <w:tcW w:w="7400" w:type="dxa"/>
            <w:shd w:val="clear" w:color="auto" w:fill="ACB9CA" w:themeFill="text2" w:themeFillTint="66"/>
          </w:tcPr>
          <w:p w14:paraId="7EA162E8" w14:textId="77777777" w:rsidR="008C448D" w:rsidRPr="00A80811" w:rsidRDefault="008C448D" w:rsidP="00E3224A"/>
        </w:tc>
      </w:tr>
      <w:tr w:rsidR="008C448D" w:rsidRPr="0010551D" w14:paraId="27B431BD" w14:textId="77777777" w:rsidTr="008C448D">
        <w:tc>
          <w:tcPr>
            <w:tcW w:w="850" w:type="dxa"/>
          </w:tcPr>
          <w:p w14:paraId="6E6ABA0A" w14:textId="53D0A496" w:rsidR="008C448D" w:rsidRPr="00F216C8" w:rsidRDefault="008C448D" w:rsidP="00E3224A">
            <w:pPr>
              <w:rPr>
                <w:b/>
              </w:rPr>
            </w:pPr>
            <w:r w:rsidRPr="00F216C8">
              <w:rPr>
                <w:b/>
              </w:rPr>
              <w:t>5(a)</w:t>
            </w:r>
          </w:p>
        </w:tc>
        <w:tc>
          <w:tcPr>
            <w:tcW w:w="6663" w:type="dxa"/>
          </w:tcPr>
          <w:p w14:paraId="0F70100A" w14:textId="4ED85144" w:rsidR="008C448D" w:rsidRPr="00F216C8" w:rsidRDefault="008C448D" w:rsidP="007D050E">
            <w:pPr>
              <w:rPr>
                <w:lang w:val="en-GB"/>
              </w:rPr>
            </w:pPr>
            <w:r w:rsidRPr="007D050E">
              <w:rPr>
                <w:lang w:val="en-GB"/>
              </w:rPr>
              <w:t>Take the necessary measures to give full effect to economic, social and cultural rights, as enshrined in the Covenant, in its domestic legislation and to ensure their justiciability</w:t>
            </w:r>
            <w:r>
              <w:rPr>
                <w:lang w:val="en-GB"/>
              </w:rPr>
              <w:t>.</w:t>
            </w:r>
          </w:p>
        </w:tc>
        <w:tc>
          <w:tcPr>
            <w:tcW w:w="1134" w:type="dxa"/>
          </w:tcPr>
          <w:p w14:paraId="59241397" w14:textId="7002B871" w:rsidR="008C448D" w:rsidRPr="00F216C8" w:rsidRDefault="008C448D" w:rsidP="00E3224A">
            <w:pPr>
              <w:rPr>
                <w:lang w:val="en-GB"/>
              </w:rPr>
            </w:pPr>
            <w:r>
              <w:rPr>
                <w:lang w:val="en-GB"/>
              </w:rPr>
              <w:t>2(1)</w:t>
            </w:r>
          </w:p>
        </w:tc>
        <w:tc>
          <w:tcPr>
            <w:tcW w:w="7400" w:type="dxa"/>
          </w:tcPr>
          <w:p w14:paraId="6BF817C1" w14:textId="787A3B3C" w:rsidR="008C448D" w:rsidRPr="008C448D" w:rsidRDefault="00947C09" w:rsidP="00194915">
            <w:pPr>
              <w:spacing w:after="160" w:line="252" w:lineRule="auto"/>
            </w:pPr>
            <w:r>
              <w:t xml:space="preserve">Funktionsrätt Sverige </w:t>
            </w:r>
            <w:r w:rsidR="008D62D2">
              <w:t>ser synergier med CRPD-</w:t>
            </w:r>
            <w:r w:rsidR="008732B8">
              <w:t>rekommendationer art. 1-4, särskilt kring höjd rättslig status och inkorporering. En del av detta handlar om</w:t>
            </w:r>
            <w:r w:rsidR="00BD55B8">
              <w:t xml:space="preserve"> återkommande</w:t>
            </w:r>
            <w:r w:rsidR="008732B8">
              <w:t xml:space="preserve"> g</w:t>
            </w:r>
            <w:r w:rsidR="00BD55B8">
              <w:t xml:space="preserve">enomgång av befintlig lagstiftning, men även att </w:t>
            </w:r>
            <w:r w:rsidR="007F6550">
              <w:t xml:space="preserve">det införs en tydlig mekanism för att säkerställa systematiskt </w:t>
            </w:r>
            <w:r w:rsidR="00550AED">
              <w:t xml:space="preserve">tillvägagångssätt för att nya lagar och regleringar är helt i linje med </w:t>
            </w:r>
            <w:r w:rsidR="00194915">
              <w:t xml:space="preserve">konventioner som Sverige ratificerat. Goda exempel som rör CRPD finns att hämta från exempelvis EU. </w:t>
            </w:r>
          </w:p>
        </w:tc>
      </w:tr>
      <w:tr w:rsidR="008C448D" w:rsidRPr="0010551D" w14:paraId="5BBC87EE" w14:textId="77777777" w:rsidTr="008C448D">
        <w:tc>
          <w:tcPr>
            <w:tcW w:w="850" w:type="dxa"/>
          </w:tcPr>
          <w:p w14:paraId="201893C6" w14:textId="0646E231" w:rsidR="008C448D" w:rsidRPr="00F216C8" w:rsidRDefault="008C448D" w:rsidP="00E3224A">
            <w:pPr>
              <w:rPr>
                <w:b/>
              </w:rPr>
            </w:pPr>
            <w:r>
              <w:rPr>
                <w:b/>
              </w:rPr>
              <w:t>5(b)</w:t>
            </w:r>
          </w:p>
        </w:tc>
        <w:tc>
          <w:tcPr>
            <w:tcW w:w="6663" w:type="dxa"/>
          </w:tcPr>
          <w:p w14:paraId="69E9E786" w14:textId="776DEADE" w:rsidR="008C448D" w:rsidRPr="00F216C8" w:rsidRDefault="008C448D" w:rsidP="00E3224A">
            <w:pPr>
              <w:rPr>
                <w:lang w:val="en-GB"/>
              </w:rPr>
            </w:pPr>
            <w:r>
              <w:rPr>
                <w:lang w:val="en-GB"/>
              </w:rPr>
              <w:t>Enh</w:t>
            </w:r>
            <w:r w:rsidRPr="00F216C8">
              <w:rPr>
                <w:lang w:val="en-GB"/>
              </w:rPr>
              <w:t>ance training for judges, lawyers and public officials on the Covenant and the justiciability of the rights therein</w:t>
            </w:r>
            <w:r>
              <w:rPr>
                <w:lang w:val="en-GB"/>
              </w:rPr>
              <w:t>.</w:t>
            </w:r>
          </w:p>
        </w:tc>
        <w:tc>
          <w:tcPr>
            <w:tcW w:w="1134" w:type="dxa"/>
          </w:tcPr>
          <w:p w14:paraId="4D63DC4A" w14:textId="336ABABE" w:rsidR="008C448D" w:rsidRPr="00F216C8" w:rsidRDefault="008C448D" w:rsidP="00E3224A">
            <w:pPr>
              <w:rPr>
                <w:lang w:val="en-GB"/>
              </w:rPr>
            </w:pPr>
            <w:r>
              <w:rPr>
                <w:lang w:val="en-GB"/>
              </w:rPr>
              <w:t>2(1)</w:t>
            </w:r>
          </w:p>
        </w:tc>
        <w:tc>
          <w:tcPr>
            <w:tcW w:w="7400" w:type="dxa"/>
          </w:tcPr>
          <w:p w14:paraId="59B6FAB3" w14:textId="2E92987A" w:rsidR="008C448D" w:rsidRPr="00E222CF" w:rsidRDefault="00E222CF" w:rsidP="00E3224A">
            <w:r w:rsidRPr="00E222CF">
              <w:t>Funktionsrätt Sverige ser behov a</w:t>
            </w:r>
            <w:r>
              <w:t xml:space="preserve">v grundläggande obligatoriska utbildningar för alla i offentlig verksamhet, med fördjupningar </w:t>
            </w:r>
            <w:r w:rsidR="00BA0425">
              <w:t>för vissa professioner.</w:t>
            </w:r>
          </w:p>
        </w:tc>
      </w:tr>
      <w:tr w:rsidR="008C448D" w:rsidRPr="0010551D" w14:paraId="51041799" w14:textId="77777777" w:rsidTr="008C448D">
        <w:tc>
          <w:tcPr>
            <w:tcW w:w="850" w:type="dxa"/>
          </w:tcPr>
          <w:p w14:paraId="3DC23C03" w14:textId="68602127" w:rsidR="008C448D" w:rsidRDefault="008C448D" w:rsidP="00E3224A">
            <w:pPr>
              <w:rPr>
                <w:b/>
              </w:rPr>
            </w:pPr>
            <w:r>
              <w:rPr>
                <w:b/>
              </w:rPr>
              <w:t>5(c)</w:t>
            </w:r>
          </w:p>
        </w:tc>
        <w:tc>
          <w:tcPr>
            <w:tcW w:w="6663" w:type="dxa"/>
          </w:tcPr>
          <w:p w14:paraId="5F85054C" w14:textId="55429C2A" w:rsidR="008C448D" w:rsidRDefault="008C448D" w:rsidP="00E3224A">
            <w:pPr>
              <w:rPr>
                <w:lang w:val="en-GB"/>
              </w:rPr>
            </w:pPr>
            <w:r w:rsidRPr="00F216C8">
              <w:rPr>
                <w:lang w:val="en-GB"/>
              </w:rPr>
              <w:t>Disseminate information to and provide trainings for local authorities on the implementation of economic, social, and cultural rights, encouraging them to make this information available and accessible to rights-holders</w:t>
            </w:r>
            <w:r>
              <w:rPr>
                <w:lang w:val="en-GB"/>
              </w:rPr>
              <w:t>.</w:t>
            </w:r>
          </w:p>
        </w:tc>
        <w:tc>
          <w:tcPr>
            <w:tcW w:w="1134" w:type="dxa"/>
          </w:tcPr>
          <w:p w14:paraId="0D291605" w14:textId="208ADE45" w:rsidR="008C448D" w:rsidRPr="00F216C8" w:rsidRDefault="008C448D" w:rsidP="00E3224A">
            <w:pPr>
              <w:rPr>
                <w:lang w:val="en-GB"/>
              </w:rPr>
            </w:pPr>
            <w:r>
              <w:rPr>
                <w:lang w:val="en-GB"/>
              </w:rPr>
              <w:t>2(1)</w:t>
            </w:r>
          </w:p>
        </w:tc>
        <w:tc>
          <w:tcPr>
            <w:tcW w:w="7400" w:type="dxa"/>
          </w:tcPr>
          <w:p w14:paraId="4529007A" w14:textId="77777777" w:rsidR="008C448D" w:rsidRPr="00F216C8" w:rsidRDefault="008C448D" w:rsidP="00E3224A">
            <w:pPr>
              <w:rPr>
                <w:lang w:val="en-GB"/>
              </w:rPr>
            </w:pPr>
          </w:p>
        </w:tc>
      </w:tr>
      <w:tr w:rsidR="008C448D" w:rsidRPr="0010551D" w14:paraId="2B59E742" w14:textId="40CE5E62" w:rsidTr="008C448D">
        <w:tc>
          <w:tcPr>
            <w:tcW w:w="850" w:type="dxa"/>
          </w:tcPr>
          <w:p w14:paraId="668AAE58" w14:textId="4AE4CD94" w:rsidR="008C448D" w:rsidRPr="006B5570" w:rsidRDefault="008C448D" w:rsidP="00E3224A">
            <w:pPr>
              <w:rPr>
                <w:b/>
                <w:lang w:val="en-GB"/>
              </w:rPr>
            </w:pPr>
            <w:r>
              <w:rPr>
                <w:b/>
                <w:lang w:val="en-GB"/>
              </w:rPr>
              <w:t>5(</w:t>
            </w:r>
            <w:r w:rsidRPr="006B5570">
              <w:rPr>
                <w:b/>
                <w:lang w:val="en-GB"/>
              </w:rPr>
              <w:t>d)</w:t>
            </w:r>
          </w:p>
        </w:tc>
        <w:tc>
          <w:tcPr>
            <w:tcW w:w="6663" w:type="dxa"/>
          </w:tcPr>
          <w:p w14:paraId="714F63D9" w14:textId="77777777" w:rsidR="008C448D" w:rsidRPr="006B5570" w:rsidRDefault="008C448D" w:rsidP="00E3224A">
            <w:pPr>
              <w:rPr>
                <w:lang w:val="en-GB"/>
              </w:rPr>
            </w:pPr>
            <w:r w:rsidRPr="006B5570">
              <w:rPr>
                <w:lang w:val="en-GB"/>
              </w:rPr>
              <w:t xml:space="preserve">Review its position on the </w:t>
            </w:r>
            <w:hyperlink r:id="rId8" w:history="1">
              <w:r w:rsidRPr="006B5570">
                <w:rPr>
                  <w:rStyle w:val="Hyperlnk"/>
                  <w:lang w:val="en-GB"/>
                </w:rPr>
                <w:t>Optional Protocol to the Covenant</w:t>
              </w:r>
            </w:hyperlink>
          </w:p>
        </w:tc>
        <w:tc>
          <w:tcPr>
            <w:tcW w:w="1134" w:type="dxa"/>
          </w:tcPr>
          <w:p w14:paraId="0DB672AC" w14:textId="0A7DCF57" w:rsidR="008C448D" w:rsidRPr="006B5570" w:rsidRDefault="008C448D" w:rsidP="00E3224A">
            <w:pPr>
              <w:rPr>
                <w:lang w:val="en-GB"/>
              </w:rPr>
            </w:pPr>
            <w:r>
              <w:rPr>
                <w:lang w:val="en-GB"/>
              </w:rPr>
              <w:t>2(1)</w:t>
            </w:r>
          </w:p>
        </w:tc>
        <w:tc>
          <w:tcPr>
            <w:tcW w:w="7400" w:type="dxa"/>
          </w:tcPr>
          <w:p w14:paraId="0E52795A" w14:textId="503F60E7" w:rsidR="008C448D" w:rsidRDefault="00947C09" w:rsidP="008C448D">
            <w:pPr>
              <w:spacing w:after="160" w:line="252" w:lineRule="auto"/>
            </w:pPr>
            <w:r>
              <w:t>Funktionsrätt Sverige står bakom att:</w:t>
            </w:r>
            <w:r>
              <w:br/>
            </w:r>
            <w:r w:rsidR="008C448D">
              <w:t xml:space="preserve">Utreda möjligheten att ratificera tilläggsprotokollet för att förbättra utkrävbarhet av rättigheterna. Det interna pm som ligger till grund för ställningstagandet att inte ratificera är undermåligt. </w:t>
            </w:r>
          </w:p>
          <w:p w14:paraId="4807A3E7" w14:textId="77777777" w:rsidR="008C448D" w:rsidRPr="008C448D" w:rsidRDefault="008C448D" w:rsidP="00E3224A"/>
        </w:tc>
      </w:tr>
      <w:tr w:rsidR="008C448D" w:rsidRPr="0010551D" w14:paraId="4009FD31" w14:textId="77777777" w:rsidTr="008C448D">
        <w:tc>
          <w:tcPr>
            <w:tcW w:w="850" w:type="dxa"/>
            <w:shd w:val="clear" w:color="auto" w:fill="ACB9CA" w:themeFill="text2" w:themeFillTint="66"/>
          </w:tcPr>
          <w:p w14:paraId="3DE020D0" w14:textId="77777777" w:rsidR="008C448D" w:rsidRPr="008C448D" w:rsidRDefault="008C448D" w:rsidP="00E3224A">
            <w:pPr>
              <w:rPr>
                <w:b/>
              </w:rPr>
            </w:pPr>
          </w:p>
        </w:tc>
        <w:tc>
          <w:tcPr>
            <w:tcW w:w="6663" w:type="dxa"/>
            <w:shd w:val="clear" w:color="auto" w:fill="ACB9CA" w:themeFill="text2" w:themeFillTint="66"/>
          </w:tcPr>
          <w:p w14:paraId="5A57A88C" w14:textId="3019EF9A" w:rsidR="008C448D" w:rsidRPr="006C6AFB" w:rsidRDefault="008C448D" w:rsidP="006C6AFB">
            <w:pPr>
              <w:rPr>
                <w:b/>
              </w:rPr>
            </w:pPr>
            <w:r w:rsidRPr="006C6AFB">
              <w:rPr>
                <w:b/>
              </w:rPr>
              <w:t xml:space="preserve">Nationellt institut </w:t>
            </w:r>
            <w:r>
              <w:rPr>
                <w:b/>
              </w:rPr>
              <w:t xml:space="preserve">för mänskliga rättigheter </w:t>
            </w:r>
          </w:p>
        </w:tc>
        <w:tc>
          <w:tcPr>
            <w:tcW w:w="1134" w:type="dxa"/>
            <w:shd w:val="clear" w:color="auto" w:fill="ACB9CA" w:themeFill="text2" w:themeFillTint="66"/>
          </w:tcPr>
          <w:p w14:paraId="6FE9ECA8" w14:textId="77777777" w:rsidR="008C448D" w:rsidRPr="006C6AFB" w:rsidRDefault="008C448D" w:rsidP="00E3224A"/>
        </w:tc>
        <w:tc>
          <w:tcPr>
            <w:tcW w:w="7400" w:type="dxa"/>
            <w:shd w:val="clear" w:color="auto" w:fill="ACB9CA" w:themeFill="text2" w:themeFillTint="66"/>
          </w:tcPr>
          <w:p w14:paraId="4434FE3B" w14:textId="77777777" w:rsidR="008C448D" w:rsidRPr="006C6AFB" w:rsidRDefault="008C448D" w:rsidP="00E3224A"/>
        </w:tc>
      </w:tr>
      <w:tr w:rsidR="008C448D" w:rsidRPr="0010551D" w14:paraId="7B896BB8" w14:textId="77777777" w:rsidTr="008C448D">
        <w:tc>
          <w:tcPr>
            <w:tcW w:w="850" w:type="dxa"/>
          </w:tcPr>
          <w:p w14:paraId="671EDA7C" w14:textId="554D32D5" w:rsidR="008C448D" w:rsidRPr="00C313D6" w:rsidRDefault="008C448D" w:rsidP="00E3224A">
            <w:pPr>
              <w:rPr>
                <w:rFonts w:cstheme="minorHAnsi"/>
                <w:b/>
                <w:lang w:val="en-GB"/>
              </w:rPr>
            </w:pPr>
            <w:r>
              <w:rPr>
                <w:rFonts w:cstheme="minorHAnsi"/>
                <w:b/>
                <w:lang w:val="en-GB"/>
              </w:rPr>
              <w:t>7</w:t>
            </w:r>
          </w:p>
        </w:tc>
        <w:tc>
          <w:tcPr>
            <w:tcW w:w="6663" w:type="dxa"/>
          </w:tcPr>
          <w:p w14:paraId="25B0BA10" w14:textId="273E0E7A" w:rsidR="008C448D" w:rsidRPr="006B5570" w:rsidRDefault="008C448D" w:rsidP="00E3224A">
            <w:pPr>
              <w:rPr>
                <w:lang w:val="en-GB"/>
              </w:rPr>
            </w:pPr>
            <w:r w:rsidRPr="007C321C">
              <w:rPr>
                <w:lang w:val="en-GB"/>
              </w:rPr>
              <w:t xml:space="preserve">Ensure that the Swedish Institute for Human Rights is able to fully exercise its mandate in relation to economic, social, and cultural rights in accordance with the </w:t>
            </w:r>
            <w:r>
              <w:rPr>
                <w:lang w:val="en-GB"/>
              </w:rPr>
              <w:t>p</w:t>
            </w:r>
            <w:r w:rsidRPr="007C321C">
              <w:rPr>
                <w:lang w:val="en-GB"/>
              </w:rPr>
              <w:t xml:space="preserve">rinciples relating to the </w:t>
            </w:r>
            <w:r>
              <w:rPr>
                <w:lang w:val="en-GB"/>
              </w:rPr>
              <w:t>s</w:t>
            </w:r>
            <w:r w:rsidRPr="007C321C">
              <w:rPr>
                <w:lang w:val="en-GB"/>
              </w:rPr>
              <w:t xml:space="preserve">tatus of </w:t>
            </w:r>
            <w:r>
              <w:rPr>
                <w:lang w:val="en-GB"/>
              </w:rPr>
              <w:lastRenderedPageBreak/>
              <w:t>n</w:t>
            </w:r>
            <w:r w:rsidRPr="007C321C">
              <w:rPr>
                <w:lang w:val="en-GB"/>
              </w:rPr>
              <w:t xml:space="preserve">ational </w:t>
            </w:r>
            <w:r>
              <w:rPr>
                <w:lang w:val="en-GB"/>
              </w:rPr>
              <w:t>i</w:t>
            </w:r>
            <w:r w:rsidRPr="007C321C">
              <w:rPr>
                <w:lang w:val="en-GB"/>
              </w:rPr>
              <w:t xml:space="preserve">nstitutions for the </w:t>
            </w:r>
            <w:r>
              <w:rPr>
                <w:lang w:val="en-GB"/>
              </w:rPr>
              <w:t>p</w:t>
            </w:r>
            <w:r w:rsidRPr="007C321C">
              <w:rPr>
                <w:lang w:val="en-GB"/>
              </w:rPr>
              <w:t xml:space="preserve">romotion and </w:t>
            </w:r>
            <w:r>
              <w:rPr>
                <w:lang w:val="en-GB"/>
              </w:rPr>
              <w:t>p</w:t>
            </w:r>
            <w:r w:rsidRPr="007C321C">
              <w:rPr>
                <w:lang w:val="en-GB"/>
              </w:rPr>
              <w:t xml:space="preserve">rotection of </w:t>
            </w:r>
            <w:r>
              <w:rPr>
                <w:lang w:val="en-GB"/>
              </w:rPr>
              <w:t>h</w:t>
            </w:r>
            <w:r w:rsidRPr="007C321C">
              <w:rPr>
                <w:lang w:val="en-GB"/>
              </w:rPr>
              <w:t xml:space="preserve">uman </w:t>
            </w:r>
            <w:r>
              <w:rPr>
                <w:lang w:val="en-GB"/>
              </w:rPr>
              <w:t>r</w:t>
            </w:r>
            <w:r w:rsidRPr="007C321C">
              <w:rPr>
                <w:lang w:val="en-GB"/>
              </w:rPr>
              <w:t xml:space="preserve">ights </w:t>
            </w:r>
            <w:r w:rsidRPr="007755D8">
              <w:rPr>
                <w:lang w:val="en-GB"/>
              </w:rPr>
              <w:t>(</w:t>
            </w:r>
            <w:hyperlink r:id="rId9" w:history="1">
              <w:r w:rsidRPr="00AD5AE3">
                <w:rPr>
                  <w:rStyle w:val="Hyperlnk"/>
                  <w:lang w:val="en-GB"/>
                </w:rPr>
                <w:t>the Paris Principles</w:t>
              </w:r>
            </w:hyperlink>
            <w:r w:rsidRPr="007755D8">
              <w:rPr>
                <w:lang w:val="en-GB"/>
              </w:rPr>
              <w:t>).</w:t>
            </w:r>
            <w:r w:rsidRPr="007C321C">
              <w:rPr>
                <w:lang w:val="en-GB"/>
              </w:rPr>
              <w:t xml:space="preserve"> In this regard, the Committee recalls its </w:t>
            </w:r>
            <w:hyperlink r:id="rId10" w:history="1">
              <w:r w:rsidRPr="007755D8">
                <w:rPr>
                  <w:rStyle w:val="Hyperlnk"/>
                  <w:lang w:val="en-GB"/>
                </w:rPr>
                <w:t>general comment no. 10 (1998)</w:t>
              </w:r>
            </w:hyperlink>
            <w:r w:rsidRPr="007C321C">
              <w:rPr>
                <w:lang w:val="en-GB"/>
              </w:rPr>
              <w:t xml:space="preserve"> on the role of national human rights institutions in the protection of economic, social, and cultural rights.</w:t>
            </w:r>
          </w:p>
        </w:tc>
        <w:tc>
          <w:tcPr>
            <w:tcW w:w="1134" w:type="dxa"/>
          </w:tcPr>
          <w:p w14:paraId="07DECAB0" w14:textId="17880105" w:rsidR="008C448D" w:rsidRPr="006B5570" w:rsidRDefault="008C448D" w:rsidP="00E3224A">
            <w:pPr>
              <w:rPr>
                <w:lang w:val="en-GB"/>
              </w:rPr>
            </w:pPr>
            <w:r>
              <w:rPr>
                <w:lang w:val="en-GB"/>
              </w:rPr>
              <w:lastRenderedPageBreak/>
              <w:t>2(1)</w:t>
            </w:r>
          </w:p>
        </w:tc>
        <w:tc>
          <w:tcPr>
            <w:tcW w:w="7400" w:type="dxa"/>
          </w:tcPr>
          <w:p w14:paraId="0ADBA324" w14:textId="77777777" w:rsidR="008C448D" w:rsidRDefault="008C448D" w:rsidP="008C448D">
            <w:pPr>
              <w:spacing w:after="160" w:line="252" w:lineRule="auto"/>
            </w:pPr>
            <w:r>
              <w:t xml:space="preserve">Säkerställa långsiktig budget för MR-institutet och genomför utredningens rekommendation att utreda grundlagsskydd för institutet. </w:t>
            </w:r>
          </w:p>
          <w:p w14:paraId="7F3DA900" w14:textId="77777777" w:rsidR="008C448D" w:rsidRPr="008C448D" w:rsidRDefault="008C448D" w:rsidP="00E3224A"/>
        </w:tc>
      </w:tr>
      <w:tr w:rsidR="008C448D" w:rsidRPr="0010551D" w14:paraId="40ADE476" w14:textId="77777777" w:rsidTr="008C448D">
        <w:tc>
          <w:tcPr>
            <w:tcW w:w="850" w:type="dxa"/>
            <w:shd w:val="clear" w:color="auto" w:fill="ACB9CA" w:themeFill="text2" w:themeFillTint="66"/>
          </w:tcPr>
          <w:p w14:paraId="317B2C82" w14:textId="77777777" w:rsidR="008C448D" w:rsidRPr="008C448D" w:rsidRDefault="008C448D" w:rsidP="00E3224A">
            <w:pPr>
              <w:rPr>
                <w:rFonts w:cstheme="minorHAnsi"/>
                <w:b/>
              </w:rPr>
            </w:pPr>
          </w:p>
        </w:tc>
        <w:tc>
          <w:tcPr>
            <w:tcW w:w="6663" w:type="dxa"/>
            <w:shd w:val="clear" w:color="auto" w:fill="ACB9CA" w:themeFill="text2" w:themeFillTint="66"/>
          </w:tcPr>
          <w:p w14:paraId="5D6737AA" w14:textId="7FABE313" w:rsidR="008C448D" w:rsidRPr="00A52B7D" w:rsidRDefault="008C448D" w:rsidP="00A52B7D">
            <w:pPr>
              <w:rPr>
                <w:b/>
              </w:rPr>
            </w:pPr>
            <w:r w:rsidRPr="00A52B7D">
              <w:rPr>
                <w:b/>
              </w:rPr>
              <w:t>Till fullo utnyttja tillgängliga resurser</w:t>
            </w:r>
          </w:p>
        </w:tc>
        <w:tc>
          <w:tcPr>
            <w:tcW w:w="1134" w:type="dxa"/>
            <w:shd w:val="clear" w:color="auto" w:fill="ACB9CA" w:themeFill="text2" w:themeFillTint="66"/>
          </w:tcPr>
          <w:p w14:paraId="5BCF56B0" w14:textId="77777777" w:rsidR="008C448D" w:rsidRPr="00A52B7D" w:rsidRDefault="008C448D" w:rsidP="00E3224A"/>
        </w:tc>
        <w:tc>
          <w:tcPr>
            <w:tcW w:w="7400" w:type="dxa"/>
            <w:shd w:val="clear" w:color="auto" w:fill="ACB9CA" w:themeFill="text2" w:themeFillTint="66"/>
          </w:tcPr>
          <w:p w14:paraId="6EEE227C" w14:textId="77777777" w:rsidR="008C448D" w:rsidRPr="00A52B7D" w:rsidRDefault="008C448D" w:rsidP="00E3224A"/>
        </w:tc>
      </w:tr>
      <w:tr w:rsidR="008C448D" w:rsidRPr="0010551D" w14:paraId="3A003DB1" w14:textId="77777777" w:rsidTr="008C448D">
        <w:tc>
          <w:tcPr>
            <w:tcW w:w="850" w:type="dxa"/>
          </w:tcPr>
          <w:p w14:paraId="148A5172" w14:textId="69083BE1" w:rsidR="008C448D" w:rsidRPr="00C313D6" w:rsidRDefault="008C448D" w:rsidP="00E3224A">
            <w:pPr>
              <w:rPr>
                <w:rFonts w:cstheme="minorHAnsi"/>
                <w:b/>
                <w:lang w:val="en-GB"/>
              </w:rPr>
            </w:pPr>
            <w:r>
              <w:rPr>
                <w:rFonts w:cstheme="minorHAnsi"/>
                <w:b/>
                <w:lang w:val="en-GB"/>
              </w:rPr>
              <w:t>9</w:t>
            </w:r>
          </w:p>
        </w:tc>
        <w:tc>
          <w:tcPr>
            <w:tcW w:w="6663" w:type="dxa"/>
          </w:tcPr>
          <w:p w14:paraId="19632F00" w14:textId="0B5EF751" w:rsidR="008C448D" w:rsidRPr="007C321C" w:rsidRDefault="008C448D" w:rsidP="00E3224A">
            <w:pPr>
              <w:rPr>
                <w:lang w:val="en-GB"/>
              </w:rPr>
            </w:pPr>
            <w:r w:rsidRPr="00C313D6">
              <w:rPr>
                <w:lang w:val="en-GB"/>
              </w:rPr>
              <w:t>Implement its human rights-integrated budget process, and provide information in its next periodic report, including disaggregated statistical data and indicators</w:t>
            </w:r>
            <w:r>
              <w:rPr>
                <w:lang w:val="en-GB"/>
              </w:rPr>
              <w:t>.</w:t>
            </w:r>
          </w:p>
        </w:tc>
        <w:tc>
          <w:tcPr>
            <w:tcW w:w="1134" w:type="dxa"/>
          </w:tcPr>
          <w:p w14:paraId="0D0EC967" w14:textId="579BCA12" w:rsidR="008C448D" w:rsidRPr="006B5570" w:rsidRDefault="008C448D" w:rsidP="00E3224A">
            <w:pPr>
              <w:rPr>
                <w:lang w:val="en-GB"/>
              </w:rPr>
            </w:pPr>
            <w:r>
              <w:rPr>
                <w:lang w:val="en-GB"/>
              </w:rPr>
              <w:t>2(1)</w:t>
            </w:r>
          </w:p>
        </w:tc>
        <w:tc>
          <w:tcPr>
            <w:tcW w:w="7400" w:type="dxa"/>
          </w:tcPr>
          <w:p w14:paraId="71B4A3E3" w14:textId="77777777" w:rsidR="008C448D" w:rsidRPr="006B5570" w:rsidRDefault="008C448D" w:rsidP="00E3224A">
            <w:pPr>
              <w:rPr>
                <w:lang w:val="en-GB"/>
              </w:rPr>
            </w:pPr>
          </w:p>
        </w:tc>
      </w:tr>
      <w:tr w:rsidR="008C448D" w:rsidRPr="006B5570" w14:paraId="0D09C85A" w14:textId="77777777" w:rsidTr="008C448D">
        <w:tc>
          <w:tcPr>
            <w:tcW w:w="850" w:type="dxa"/>
            <w:shd w:val="clear" w:color="auto" w:fill="ACB9CA" w:themeFill="text2" w:themeFillTint="66"/>
          </w:tcPr>
          <w:p w14:paraId="3E651FE0" w14:textId="77777777" w:rsidR="008C448D" w:rsidRPr="00D33E5C" w:rsidRDefault="008C448D" w:rsidP="00D33E5C">
            <w:pPr>
              <w:rPr>
                <w:b/>
                <w:lang w:val="en-GB"/>
              </w:rPr>
            </w:pPr>
          </w:p>
        </w:tc>
        <w:tc>
          <w:tcPr>
            <w:tcW w:w="6663" w:type="dxa"/>
            <w:shd w:val="clear" w:color="auto" w:fill="ACB9CA" w:themeFill="text2" w:themeFillTint="66"/>
          </w:tcPr>
          <w:p w14:paraId="48849D0E" w14:textId="569ED8D2" w:rsidR="008C448D" w:rsidRPr="00B85D8F" w:rsidRDefault="008C448D" w:rsidP="00E3224A">
            <w:pPr>
              <w:rPr>
                <w:b/>
              </w:rPr>
            </w:pPr>
            <w:r w:rsidRPr="00B85D8F">
              <w:rPr>
                <w:b/>
              </w:rPr>
              <w:t>Klimatför</w:t>
            </w:r>
            <w:r>
              <w:rPr>
                <w:b/>
              </w:rPr>
              <w:t>ä</w:t>
            </w:r>
            <w:r w:rsidRPr="00B85D8F">
              <w:rPr>
                <w:b/>
              </w:rPr>
              <w:t xml:space="preserve">ndringar </w:t>
            </w:r>
          </w:p>
        </w:tc>
        <w:tc>
          <w:tcPr>
            <w:tcW w:w="1134" w:type="dxa"/>
            <w:shd w:val="clear" w:color="auto" w:fill="ACB9CA" w:themeFill="text2" w:themeFillTint="66"/>
          </w:tcPr>
          <w:p w14:paraId="228A0345" w14:textId="77777777" w:rsidR="008C448D" w:rsidRPr="001B1869" w:rsidRDefault="008C448D" w:rsidP="0003020A">
            <w:pPr>
              <w:rPr>
                <w:lang w:val="en-GB"/>
              </w:rPr>
            </w:pPr>
          </w:p>
        </w:tc>
        <w:tc>
          <w:tcPr>
            <w:tcW w:w="7400" w:type="dxa"/>
            <w:shd w:val="clear" w:color="auto" w:fill="ACB9CA" w:themeFill="text2" w:themeFillTint="66"/>
          </w:tcPr>
          <w:p w14:paraId="533E0319" w14:textId="77777777" w:rsidR="008C448D" w:rsidRPr="0003020A" w:rsidRDefault="008C448D" w:rsidP="00D33E5C"/>
        </w:tc>
      </w:tr>
      <w:tr w:rsidR="008C448D" w:rsidRPr="006B5570" w14:paraId="5BC427A1" w14:textId="6827A7A3" w:rsidTr="008C448D">
        <w:tc>
          <w:tcPr>
            <w:tcW w:w="850" w:type="dxa"/>
          </w:tcPr>
          <w:p w14:paraId="3309A05A" w14:textId="7775FE75" w:rsidR="008C448D" w:rsidRPr="00D33E5C" w:rsidRDefault="008C448D" w:rsidP="00D33E5C">
            <w:pPr>
              <w:rPr>
                <w:b/>
                <w:lang w:val="en-GB"/>
              </w:rPr>
            </w:pPr>
            <w:r w:rsidRPr="00D33E5C">
              <w:rPr>
                <w:b/>
                <w:lang w:val="en-GB"/>
              </w:rPr>
              <w:t>11</w:t>
            </w:r>
            <w:r>
              <w:rPr>
                <w:b/>
                <w:lang w:val="en-GB"/>
              </w:rPr>
              <w:t>(a)</w:t>
            </w:r>
          </w:p>
        </w:tc>
        <w:tc>
          <w:tcPr>
            <w:tcW w:w="6663" w:type="dxa"/>
          </w:tcPr>
          <w:p w14:paraId="13595A37" w14:textId="77777777" w:rsidR="008C448D" w:rsidRPr="006B5570" w:rsidRDefault="008C448D" w:rsidP="00E3224A">
            <w:pPr>
              <w:rPr>
                <w:lang w:val="en-GB"/>
              </w:rPr>
            </w:pPr>
            <w:r w:rsidRPr="00D33E5C">
              <w:rPr>
                <w:lang w:val="en-GB"/>
              </w:rPr>
              <w:t>Continue to strengthen its activities to achieve the greenhouse gas emissions reduction target;</w:t>
            </w:r>
          </w:p>
        </w:tc>
        <w:tc>
          <w:tcPr>
            <w:tcW w:w="1134" w:type="dxa"/>
          </w:tcPr>
          <w:p w14:paraId="5CD468C5" w14:textId="287F01FB" w:rsidR="008C448D" w:rsidRPr="0003020A" w:rsidRDefault="008C448D" w:rsidP="0003020A">
            <w:r w:rsidRPr="001B1869">
              <w:rPr>
                <w:lang w:val="en-GB"/>
              </w:rPr>
              <w:t xml:space="preserve"> </w:t>
            </w:r>
            <w:r>
              <w:t>2(1)</w:t>
            </w:r>
            <w:r>
              <w:rPr>
                <w:rStyle w:val="Fotnotsreferens"/>
              </w:rPr>
              <w:footnoteReference w:id="1"/>
            </w:r>
          </w:p>
        </w:tc>
        <w:tc>
          <w:tcPr>
            <w:tcW w:w="7400" w:type="dxa"/>
          </w:tcPr>
          <w:p w14:paraId="5457066F" w14:textId="77777777" w:rsidR="008C448D" w:rsidRPr="0003020A" w:rsidRDefault="008C448D" w:rsidP="00D33E5C"/>
        </w:tc>
      </w:tr>
      <w:tr w:rsidR="008C448D" w:rsidRPr="0010551D" w14:paraId="334033BB" w14:textId="77777777" w:rsidTr="008C448D">
        <w:tc>
          <w:tcPr>
            <w:tcW w:w="850" w:type="dxa"/>
          </w:tcPr>
          <w:p w14:paraId="134F8F34" w14:textId="16F6F00B" w:rsidR="008C448D" w:rsidRPr="00D33E5C" w:rsidRDefault="008C448D" w:rsidP="00D33E5C">
            <w:pPr>
              <w:rPr>
                <w:b/>
                <w:lang w:val="en-GB"/>
              </w:rPr>
            </w:pPr>
            <w:r w:rsidRPr="00D33E5C">
              <w:rPr>
                <w:b/>
                <w:lang w:val="en-GB"/>
              </w:rPr>
              <w:t>11</w:t>
            </w:r>
            <w:r>
              <w:rPr>
                <w:b/>
                <w:lang w:val="en-GB"/>
              </w:rPr>
              <w:t>(b)</w:t>
            </w:r>
          </w:p>
        </w:tc>
        <w:tc>
          <w:tcPr>
            <w:tcW w:w="6663" w:type="dxa"/>
          </w:tcPr>
          <w:p w14:paraId="44BB5EF9" w14:textId="77777777" w:rsidR="008C448D" w:rsidRPr="00D860D2" w:rsidRDefault="008C448D" w:rsidP="00D860D2">
            <w:pPr>
              <w:rPr>
                <w:lang w:val="en-GB"/>
              </w:rPr>
            </w:pPr>
            <w:r w:rsidRPr="00D860D2">
              <w:rPr>
                <w:lang w:val="en-GB"/>
              </w:rPr>
              <w:t xml:space="preserve">Ensure the meaningful and informed participation of communities, </w:t>
            </w:r>
          </w:p>
          <w:p w14:paraId="6E3582BF" w14:textId="4200740F" w:rsidR="008C448D" w:rsidRPr="00D33E5C" w:rsidRDefault="008C448D" w:rsidP="00D860D2">
            <w:pPr>
              <w:rPr>
                <w:lang w:val="en-GB"/>
              </w:rPr>
            </w:pPr>
            <w:r w:rsidRPr="00D860D2">
              <w:rPr>
                <w:lang w:val="en-GB"/>
              </w:rPr>
              <w:t>including the Sámi people, in the adoption of measures under the Climate Policy Action Plan, including green transition projects, and that those measures do not adversely affect people in vulnerable and disadvantaged situations.</w:t>
            </w:r>
          </w:p>
        </w:tc>
        <w:tc>
          <w:tcPr>
            <w:tcW w:w="1134" w:type="dxa"/>
          </w:tcPr>
          <w:p w14:paraId="15E5D6D2" w14:textId="48980273" w:rsidR="008C448D" w:rsidRDefault="008C448D" w:rsidP="00D33E5C">
            <w:pPr>
              <w:rPr>
                <w:lang w:val="en-GB"/>
              </w:rPr>
            </w:pPr>
            <w:r>
              <w:rPr>
                <w:lang w:val="en-GB"/>
              </w:rPr>
              <w:t>11.</w:t>
            </w:r>
            <w:r w:rsidRPr="00F36B9D">
              <w:rPr>
                <w:lang w:val="en-GB"/>
              </w:rPr>
              <w:t xml:space="preserve"> 15</w:t>
            </w:r>
            <w:r>
              <w:rPr>
                <w:lang w:val="en-GB"/>
              </w:rPr>
              <w:t>.</w:t>
            </w:r>
          </w:p>
        </w:tc>
        <w:tc>
          <w:tcPr>
            <w:tcW w:w="7400" w:type="dxa"/>
          </w:tcPr>
          <w:p w14:paraId="23A2AFD5" w14:textId="77777777" w:rsidR="008C448D" w:rsidRDefault="008C448D" w:rsidP="00D33E5C">
            <w:pPr>
              <w:rPr>
                <w:lang w:val="en-GB"/>
              </w:rPr>
            </w:pPr>
          </w:p>
        </w:tc>
      </w:tr>
      <w:tr w:rsidR="008C448D" w:rsidRPr="0010551D" w14:paraId="68E6229D" w14:textId="77777777" w:rsidTr="008C448D">
        <w:tc>
          <w:tcPr>
            <w:tcW w:w="850" w:type="dxa"/>
            <w:shd w:val="clear" w:color="auto" w:fill="ACB9CA" w:themeFill="text2" w:themeFillTint="66"/>
          </w:tcPr>
          <w:p w14:paraId="46F589D7" w14:textId="77777777" w:rsidR="008C448D" w:rsidRPr="00B85D8F" w:rsidRDefault="008C448D" w:rsidP="00D33E5C">
            <w:pPr>
              <w:rPr>
                <w:b/>
              </w:rPr>
            </w:pPr>
          </w:p>
        </w:tc>
        <w:tc>
          <w:tcPr>
            <w:tcW w:w="6663" w:type="dxa"/>
            <w:shd w:val="clear" w:color="auto" w:fill="ACB9CA" w:themeFill="text2" w:themeFillTint="66"/>
          </w:tcPr>
          <w:p w14:paraId="54B5CE7A" w14:textId="695EC5E2" w:rsidR="008C448D" w:rsidRPr="00B85D8F" w:rsidRDefault="008C448D" w:rsidP="00E3224A">
            <w:pPr>
              <w:rPr>
                <w:b/>
              </w:rPr>
            </w:pPr>
            <w:r w:rsidRPr="00B85D8F">
              <w:rPr>
                <w:b/>
              </w:rPr>
              <w:t>Officiellt utvecklingsbistånd</w:t>
            </w:r>
          </w:p>
        </w:tc>
        <w:tc>
          <w:tcPr>
            <w:tcW w:w="1134" w:type="dxa"/>
            <w:shd w:val="clear" w:color="auto" w:fill="ACB9CA" w:themeFill="text2" w:themeFillTint="66"/>
          </w:tcPr>
          <w:p w14:paraId="5DBF0233" w14:textId="77777777" w:rsidR="008C448D" w:rsidRPr="00B85D8F" w:rsidRDefault="008C448D" w:rsidP="00D33E5C"/>
        </w:tc>
        <w:tc>
          <w:tcPr>
            <w:tcW w:w="7400" w:type="dxa"/>
            <w:shd w:val="clear" w:color="auto" w:fill="ACB9CA" w:themeFill="text2" w:themeFillTint="66"/>
          </w:tcPr>
          <w:p w14:paraId="0C851793" w14:textId="77777777" w:rsidR="008C448D" w:rsidRPr="00B85D8F" w:rsidRDefault="008C448D" w:rsidP="00D33E5C"/>
        </w:tc>
      </w:tr>
      <w:tr w:rsidR="008C448D" w:rsidRPr="0010551D" w14:paraId="6C35D8C9" w14:textId="299EB195" w:rsidTr="008C448D">
        <w:tc>
          <w:tcPr>
            <w:tcW w:w="850" w:type="dxa"/>
          </w:tcPr>
          <w:p w14:paraId="0F313212" w14:textId="7C9D8199" w:rsidR="008C448D" w:rsidRPr="00EE7E8C" w:rsidRDefault="008C448D" w:rsidP="00E3224A">
            <w:pPr>
              <w:rPr>
                <w:b/>
                <w:lang w:val="en-GB"/>
              </w:rPr>
            </w:pPr>
            <w:r>
              <w:rPr>
                <w:b/>
                <w:lang w:val="en-GB"/>
              </w:rPr>
              <w:t>13</w:t>
            </w:r>
          </w:p>
        </w:tc>
        <w:tc>
          <w:tcPr>
            <w:tcW w:w="6663" w:type="dxa"/>
          </w:tcPr>
          <w:p w14:paraId="6D5A8333" w14:textId="13A8FDEF" w:rsidR="008C448D" w:rsidRPr="006B5570" w:rsidRDefault="008C448D" w:rsidP="00D860D2">
            <w:pPr>
              <w:rPr>
                <w:lang w:val="en-GB"/>
              </w:rPr>
            </w:pPr>
            <w:r>
              <w:rPr>
                <w:lang w:val="en-GB"/>
              </w:rPr>
              <w:t>M</w:t>
            </w:r>
            <w:r w:rsidRPr="00D860D2">
              <w:rPr>
                <w:lang w:val="en-GB"/>
              </w:rPr>
              <w:t>aintain its long-term commitment to the promotion of human rights and gender equality through ODA, without imposing undue conditionalities. It also recommends that the State party ensure that its contribution to the Green Climate Fund is over and above the current level of ODA and is not to the detriment of development assistance in other areas.</w:t>
            </w:r>
          </w:p>
        </w:tc>
        <w:tc>
          <w:tcPr>
            <w:tcW w:w="1134" w:type="dxa"/>
          </w:tcPr>
          <w:p w14:paraId="4468313D" w14:textId="2962D4AB" w:rsidR="008C448D" w:rsidRPr="006B5570" w:rsidRDefault="008C448D" w:rsidP="00F36B9D">
            <w:pPr>
              <w:rPr>
                <w:lang w:val="en-GB"/>
              </w:rPr>
            </w:pPr>
            <w:r>
              <w:rPr>
                <w:lang w:val="en-GB"/>
              </w:rPr>
              <w:t>2(1)</w:t>
            </w:r>
            <w:r w:rsidRPr="00F36B9D">
              <w:rPr>
                <w:lang w:val="en-GB"/>
              </w:rPr>
              <w:t xml:space="preserve">. </w:t>
            </w:r>
            <w:r>
              <w:rPr>
                <w:lang w:val="en-GB"/>
              </w:rPr>
              <w:t>15(1)(b). 15(4)</w:t>
            </w:r>
            <w:r>
              <w:rPr>
                <w:rStyle w:val="Fotnotsreferens"/>
                <w:lang w:val="en-GB"/>
              </w:rPr>
              <w:footnoteReference w:id="2"/>
            </w:r>
            <w:r w:rsidRPr="006B5570">
              <w:rPr>
                <w:lang w:val="en-GB"/>
              </w:rPr>
              <w:t xml:space="preserve"> </w:t>
            </w:r>
          </w:p>
        </w:tc>
        <w:tc>
          <w:tcPr>
            <w:tcW w:w="7400" w:type="dxa"/>
          </w:tcPr>
          <w:p w14:paraId="480F7220" w14:textId="1958A7BB" w:rsidR="008C448D" w:rsidRPr="008C448D" w:rsidRDefault="008C448D" w:rsidP="00EE7E8C">
            <w:bookmarkStart w:id="0" w:name="_Hlk168933714"/>
            <w:r w:rsidRPr="008C448D">
              <w:t xml:space="preserve">Ta bort reformagendans villkorande </w:t>
            </w:r>
            <w:r>
              <w:t xml:space="preserve">av biståndet mot bland annat att återta sina medborgare. </w:t>
            </w:r>
            <w:bookmarkEnd w:id="0"/>
          </w:p>
        </w:tc>
      </w:tr>
      <w:tr w:rsidR="008C448D" w:rsidRPr="0010551D" w14:paraId="02AD2E5F" w14:textId="77777777" w:rsidTr="008C448D">
        <w:tc>
          <w:tcPr>
            <w:tcW w:w="850" w:type="dxa"/>
            <w:shd w:val="clear" w:color="auto" w:fill="ACB9CA" w:themeFill="text2" w:themeFillTint="66"/>
          </w:tcPr>
          <w:p w14:paraId="0F69BDE8" w14:textId="77777777" w:rsidR="008C448D" w:rsidRPr="00B85D8F" w:rsidRDefault="008C448D" w:rsidP="00E3224A">
            <w:pPr>
              <w:rPr>
                <w:b/>
              </w:rPr>
            </w:pPr>
          </w:p>
        </w:tc>
        <w:tc>
          <w:tcPr>
            <w:tcW w:w="6663" w:type="dxa"/>
            <w:shd w:val="clear" w:color="auto" w:fill="ACB9CA" w:themeFill="text2" w:themeFillTint="66"/>
          </w:tcPr>
          <w:p w14:paraId="66A73343" w14:textId="3046356F" w:rsidR="008C448D" w:rsidRPr="00B85D8F" w:rsidRDefault="008C448D" w:rsidP="00E3224A">
            <w:pPr>
              <w:rPr>
                <w:b/>
              </w:rPr>
            </w:pPr>
            <w:r w:rsidRPr="00B85D8F">
              <w:rPr>
                <w:b/>
              </w:rPr>
              <w:t>Samiska urfolket</w:t>
            </w:r>
          </w:p>
        </w:tc>
        <w:tc>
          <w:tcPr>
            <w:tcW w:w="1134" w:type="dxa"/>
            <w:shd w:val="clear" w:color="auto" w:fill="ACB9CA" w:themeFill="text2" w:themeFillTint="66"/>
          </w:tcPr>
          <w:p w14:paraId="37668435" w14:textId="77777777" w:rsidR="008C448D" w:rsidRPr="00B85D8F" w:rsidRDefault="008C448D" w:rsidP="00F36B9D"/>
        </w:tc>
        <w:tc>
          <w:tcPr>
            <w:tcW w:w="7400" w:type="dxa"/>
            <w:shd w:val="clear" w:color="auto" w:fill="ACB9CA" w:themeFill="text2" w:themeFillTint="66"/>
          </w:tcPr>
          <w:p w14:paraId="3B63E74C" w14:textId="77777777" w:rsidR="008C448D" w:rsidRPr="00B85D8F" w:rsidRDefault="008C448D" w:rsidP="00EE7E8C"/>
        </w:tc>
      </w:tr>
      <w:tr w:rsidR="008C448D" w:rsidRPr="0010551D" w14:paraId="63977C1B" w14:textId="77777777" w:rsidTr="008C448D">
        <w:tc>
          <w:tcPr>
            <w:tcW w:w="850" w:type="dxa"/>
          </w:tcPr>
          <w:p w14:paraId="34229C5E" w14:textId="29A3E5E9" w:rsidR="008C448D" w:rsidRPr="00EE7E8C" w:rsidRDefault="008C448D" w:rsidP="00E3224A">
            <w:pPr>
              <w:rPr>
                <w:b/>
                <w:lang w:val="en-GB"/>
              </w:rPr>
            </w:pPr>
            <w:r>
              <w:rPr>
                <w:b/>
                <w:lang w:val="en-GB"/>
              </w:rPr>
              <w:t>15(a)</w:t>
            </w:r>
          </w:p>
        </w:tc>
        <w:tc>
          <w:tcPr>
            <w:tcW w:w="6663" w:type="dxa"/>
          </w:tcPr>
          <w:p w14:paraId="2ED588A8" w14:textId="038654F2" w:rsidR="008C448D" w:rsidRPr="00EE7E8C" w:rsidRDefault="008C448D" w:rsidP="001A041E">
            <w:pPr>
              <w:rPr>
                <w:lang w:val="en-GB"/>
              </w:rPr>
            </w:pPr>
            <w:r w:rsidRPr="001A041E">
              <w:rPr>
                <w:lang w:val="en-GB"/>
              </w:rPr>
              <w:t xml:space="preserve">Ensure the effective implementation of the Act on Consultation, including by providing adequate training for government and </w:t>
            </w:r>
            <w:r w:rsidRPr="001A041E">
              <w:rPr>
                <w:lang w:val="en-GB"/>
              </w:rPr>
              <w:lastRenderedPageBreak/>
              <w:t>municipal officials on its provisions and the importance of meaningful dialogue and consultation with the Sámi</w:t>
            </w:r>
            <w:r>
              <w:rPr>
                <w:lang w:val="en-GB"/>
              </w:rPr>
              <w:t>.</w:t>
            </w:r>
          </w:p>
        </w:tc>
        <w:tc>
          <w:tcPr>
            <w:tcW w:w="1134" w:type="dxa"/>
          </w:tcPr>
          <w:p w14:paraId="50E86BF3" w14:textId="192151A2" w:rsidR="008C448D" w:rsidRDefault="008C448D" w:rsidP="00EE7E8C">
            <w:pPr>
              <w:rPr>
                <w:lang w:val="en-GB"/>
              </w:rPr>
            </w:pPr>
            <w:r>
              <w:rPr>
                <w:lang w:val="en-GB"/>
              </w:rPr>
              <w:lastRenderedPageBreak/>
              <w:t>1(2).</w:t>
            </w:r>
            <w:r w:rsidRPr="00734715">
              <w:rPr>
                <w:lang w:val="en-GB"/>
              </w:rPr>
              <w:t xml:space="preserve"> 2</w:t>
            </w:r>
            <w:r>
              <w:rPr>
                <w:lang w:val="en-GB"/>
              </w:rPr>
              <w:t>.</w:t>
            </w:r>
          </w:p>
        </w:tc>
        <w:tc>
          <w:tcPr>
            <w:tcW w:w="7400" w:type="dxa"/>
          </w:tcPr>
          <w:p w14:paraId="3C421071" w14:textId="77777777" w:rsidR="008C448D" w:rsidRDefault="004872A1" w:rsidP="00EE7E8C">
            <w:pPr>
              <w:rPr>
                <w:i/>
                <w:iCs/>
              </w:rPr>
            </w:pPr>
            <w:r w:rsidRPr="004872A1">
              <w:rPr>
                <w:i/>
                <w:iCs/>
              </w:rPr>
              <w:t xml:space="preserve">OBS: denna rekommendation är prioriterad att genomföras närmaste två åren för återrapportering 31 mars 2026. </w:t>
            </w:r>
          </w:p>
          <w:p w14:paraId="6B344CA9" w14:textId="77777777" w:rsidR="004872A1" w:rsidRDefault="004872A1" w:rsidP="00EE7E8C"/>
          <w:p w14:paraId="56826632" w14:textId="4B73C1ED" w:rsidR="004872A1" w:rsidRPr="004872A1" w:rsidRDefault="004872A1" w:rsidP="00EE7E8C">
            <w:r>
              <w:lastRenderedPageBreak/>
              <w:t xml:space="preserve">Ta kontakt med relevanta samiska företrädare för att kunna genomföra denna rekommendation. </w:t>
            </w:r>
          </w:p>
        </w:tc>
      </w:tr>
      <w:tr w:rsidR="008C448D" w:rsidRPr="0010551D" w14:paraId="1B548653" w14:textId="77777777" w:rsidTr="008C448D">
        <w:tc>
          <w:tcPr>
            <w:tcW w:w="850" w:type="dxa"/>
          </w:tcPr>
          <w:p w14:paraId="3984FCD3" w14:textId="19F64569" w:rsidR="008C448D" w:rsidRDefault="008C448D" w:rsidP="00E3224A">
            <w:pPr>
              <w:rPr>
                <w:b/>
                <w:lang w:val="en-GB"/>
              </w:rPr>
            </w:pPr>
            <w:r>
              <w:rPr>
                <w:b/>
                <w:lang w:val="en-GB"/>
              </w:rPr>
              <w:lastRenderedPageBreak/>
              <w:t>15(b)</w:t>
            </w:r>
          </w:p>
        </w:tc>
        <w:tc>
          <w:tcPr>
            <w:tcW w:w="6663" w:type="dxa"/>
          </w:tcPr>
          <w:p w14:paraId="3DE3F189" w14:textId="1E41D74A" w:rsidR="008C448D" w:rsidRPr="0022799B" w:rsidRDefault="008C448D" w:rsidP="00413C4B">
            <w:pPr>
              <w:rPr>
                <w:lang w:val="en-GB"/>
              </w:rPr>
            </w:pPr>
            <w:r w:rsidRPr="00413C4B">
              <w:rPr>
                <w:lang w:val="en-GB"/>
              </w:rPr>
              <w:t>Support the work of the Truth Commission for the Sámi People, ensuring it has access to all necessary information and resources to conduct its investigations thoroughly, while guaranteeing that its findings and recommendations are fully considered and implemented, where appropriate, to address historical injustices and promote reconciliatio</w:t>
            </w:r>
            <w:r>
              <w:rPr>
                <w:lang w:val="en-GB"/>
              </w:rPr>
              <w:t>n.</w:t>
            </w:r>
          </w:p>
        </w:tc>
        <w:tc>
          <w:tcPr>
            <w:tcW w:w="1134" w:type="dxa"/>
          </w:tcPr>
          <w:p w14:paraId="6CB5E82A" w14:textId="077015DE" w:rsidR="008C448D" w:rsidRDefault="008C448D" w:rsidP="00EE7E8C">
            <w:pPr>
              <w:rPr>
                <w:lang w:val="en-GB"/>
              </w:rPr>
            </w:pPr>
            <w:r>
              <w:rPr>
                <w:lang w:val="en-GB"/>
              </w:rPr>
              <w:t>1(2).</w:t>
            </w:r>
            <w:r w:rsidRPr="00734715">
              <w:rPr>
                <w:lang w:val="en-GB"/>
              </w:rPr>
              <w:t xml:space="preserve"> 2</w:t>
            </w:r>
            <w:r>
              <w:rPr>
                <w:lang w:val="en-GB"/>
              </w:rPr>
              <w:t>.</w:t>
            </w:r>
          </w:p>
        </w:tc>
        <w:tc>
          <w:tcPr>
            <w:tcW w:w="7400" w:type="dxa"/>
          </w:tcPr>
          <w:p w14:paraId="7715D335" w14:textId="77777777" w:rsidR="008C448D" w:rsidRDefault="008C448D" w:rsidP="00EE7E8C">
            <w:pPr>
              <w:rPr>
                <w:lang w:val="en-GB"/>
              </w:rPr>
            </w:pPr>
          </w:p>
        </w:tc>
      </w:tr>
      <w:tr w:rsidR="008C448D" w:rsidRPr="0010551D" w14:paraId="05525F9F" w14:textId="77777777" w:rsidTr="008C448D">
        <w:tc>
          <w:tcPr>
            <w:tcW w:w="850" w:type="dxa"/>
          </w:tcPr>
          <w:p w14:paraId="4AE8B707" w14:textId="5C90764D" w:rsidR="008C448D" w:rsidRDefault="008C448D" w:rsidP="00E3224A">
            <w:pPr>
              <w:rPr>
                <w:b/>
                <w:lang w:val="en-GB"/>
              </w:rPr>
            </w:pPr>
            <w:r>
              <w:rPr>
                <w:b/>
                <w:lang w:val="en-GB"/>
              </w:rPr>
              <w:t>15(c)</w:t>
            </w:r>
          </w:p>
        </w:tc>
        <w:tc>
          <w:tcPr>
            <w:tcW w:w="6663" w:type="dxa"/>
          </w:tcPr>
          <w:p w14:paraId="5CC272FD" w14:textId="6C7A26FC" w:rsidR="008C448D" w:rsidRPr="0022799B" w:rsidRDefault="008C448D" w:rsidP="00413C4B">
            <w:pPr>
              <w:rPr>
                <w:lang w:val="en-GB"/>
              </w:rPr>
            </w:pPr>
            <w:r w:rsidRPr="00413C4B">
              <w:rPr>
                <w:lang w:val="en-GB"/>
              </w:rPr>
              <w:t>Ensure that the development of a bill concerning elections to the Sámi Parliament and a strategy for climate adaptation involve extensive consultation with the Sámi Parliament and reflect the needs and priorities of the Sámi</w:t>
            </w:r>
            <w:r>
              <w:rPr>
                <w:lang w:val="en-GB"/>
              </w:rPr>
              <w:t>.</w:t>
            </w:r>
          </w:p>
        </w:tc>
        <w:tc>
          <w:tcPr>
            <w:tcW w:w="1134" w:type="dxa"/>
          </w:tcPr>
          <w:p w14:paraId="2AC23FE2" w14:textId="175AFEF1" w:rsidR="008C448D" w:rsidRDefault="008C448D" w:rsidP="00EE7E8C">
            <w:pPr>
              <w:rPr>
                <w:lang w:val="en-GB"/>
              </w:rPr>
            </w:pPr>
            <w:r>
              <w:rPr>
                <w:lang w:val="en-GB"/>
              </w:rPr>
              <w:t>1(2).</w:t>
            </w:r>
            <w:r w:rsidRPr="00734715">
              <w:rPr>
                <w:lang w:val="en-GB"/>
              </w:rPr>
              <w:t xml:space="preserve"> 2</w:t>
            </w:r>
            <w:r>
              <w:rPr>
                <w:lang w:val="en-GB"/>
              </w:rPr>
              <w:t>.</w:t>
            </w:r>
          </w:p>
        </w:tc>
        <w:tc>
          <w:tcPr>
            <w:tcW w:w="7400" w:type="dxa"/>
          </w:tcPr>
          <w:p w14:paraId="3319F17F" w14:textId="77777777" w:rsidR="008C448D" w:rsidRDefault="008C448D" w:rsidP="00EE7E8C">
            <w:pPr>
              <w:rPr>
                <w:lang w:val="en-GB"/>
              </w:rPr>
            </w:pPr>
          </w:p>
        </w:tc>
      </w:tr>
      <w:tr w:rsidR="008C448D" w:rsidRPr="0010551D" w14:paraId="4CA51B53" w14:textId="77777777" w:rsidTr="008C448D">
        <w:tc>
          <w:tcPr>
            <w:tcW w:w="850" w:type="dxa"/>
          </w:tcPr>
          <w:p w14:paraId="0E7DA535" w14:textId="72AE9E6D" w:rsidR="008C448D" w:rsidRDefault="008C448D" w:rsidP="00E3224A">
            <w:pPr>
              <w:rPr>
                <w:b/>
                <w:lang w:val="en-GB"/>
              </w:rPr>
            </w:pPr>
            <w:r>
              <w:rPr>
                <w:b/>
                <w:lang w:val="en-GB"/>
              </w:rPr>
              <w:t>15(d)</w:t>
            </w:r>
          </w:p>
        </w:tc>
        <w:tc>
          <w:tcPr>
            <w:tcW w:w="6663" w:type="dxa"/>
          </w:tcPr>
          <w:p w14:paraId="41E6F1D9" w14:textId="77777777" w:rsidR="008C448D" w:rsidRPr="00413C4B" w:rsidRDefault="008C448D" w:rsidP="00413C4B">
            <w:pPr>
              <w:rPr>
                <w:lang w:val="en-GB"/>
              </w:rPr>
            </w:pPr>
            <w:r w:rsidRPr="00413C4B">
              <w:rPr>
                <w:lang w:val="en-GB"/>
              </w:rPr>
              <w:t xml:space="preserve">Guarantee, both in law and in practice, the free, prior and informed </w:t>
            </w:r>
          </w:p>
          <w:p w14:paraId="05379A61" w14:textId="7A9DC873" w:rsidR="008C448D" w:rsidRPr="0022799B" w:rsidRDefault="008C448D" w:rsidP="00413C4B">
            <w:pPr>
              <w:rPr>
                <w:lang w:val="en-GB"/>
              </w:rPr>
            </w:pPr>
            <w:r w:rsidRPr="00413C4B">
              <w:rPr>
                <w:lang w:val="en-GB"/>
              </w:rPr>
              <w:t>consent of the Sámi in all decisions affecting them, with respect for Sámi traditions and decision-making processes.</w:t>
            </w:r>
          </w:p>
        </w:tc>
        <w:tc>
          <w:tcPr>
            <w:tcW w:w="1134" w:type="dxa"/>
          </w:tcPr>
          <w:p w14:paraId="412A3096" w14:textId="4C3A6A40" w:rsidR="008C448D" w:rsidRDefault="008C448D" w:rsidP="00EE7E8C">
            <w:pPr>
              <w:rPr>
                <w:lang w:val="en-GB"/>
              </w:rPr>
            </w:pPr>
            <w:r>
              <w:rPr>
                <w:lang w:val="en-GB"/>
              </w:rPr>
              <w:t>1(2).</w:t>
            </w:r>
            <w:r w:rsidRPr="00734715">
              <w:rPr>
                <w:lang w:val="en-GB"/>
              </w:rPr>
              <w:t xml:space="preserve"> 2</w:t>
            </w:r>
            <w:r>
              <w:rPr>
                <w:lang w:val="en-GB"/>
              </w:rPr>
              <w:t>.</w:t>
            </w:r>
          </w:p>
        </w:tc>
        <w:tc>
          <w:tcPr>
            <w:tcW w:w="7400" w:type="dxa"/>
          </w:tcPr>
          <w:p w14:paraId="77C7F23E" w14:textId="77777777" w:rsidR="008C448D" w:rsidRDefault="008C448D" w:rsidP="00EE7E8C">
            <w:pPr>
              <w:rPr>
                <w:lang w:val="en-GB"/>
              </w:rPr>
            </w:pPr>
          </w:p>
        </w:tc>
      </w:tr>
      <w:tr w:rsidR="008C448D" w:rsidRPr="0010551D" w14:paraId="6B4514B4" w14:textId="77777777" w:rsidTr="008C448D">
        <w:tc>
          <w:tcPr>
            <w:tcW w:w="850" w:type="dxa"/>
            <w:shd w:val="clear" w:color="auto" w:fill="ACB9CA" w:themeFill="text2" w:themeFillTint="66"/>
          </w:tcPr>
          <w:p w14:paraId="08395EE5" w14:textId="77777777" w:rsidR="008C448D" w:rsidRPr="00B85D8F" w:rsidRDefault="008C448D" w:rsidP="00E3224A">
            <w:pPr>
              <w:rPr>
                <w:b/>
              </w:rPr>
            </w:pPr>
          </w:p>
        </w:tc>
        <w:tc>
          <w:tcPr>
            <w:tcW w:w="6663" w:type="dxa"/>
            <w:shd w:val="clear" w:color="auto" w:fill="ACB9CA" w:themeFill="text2" w:themeFillTint="66"/>
          </w:tcPr>
          <w:p w14:paraId="1BFA3190" w14:textId="3CD146FA" w:rsidR="008C448D" w:rsidRPr="00B85D8F" w:rsidRDefault="008C448D" w:rsidP="00E3224A">
            <w:pPr>
              <w:rPr>
                <w:b/>
              </w:rPr>
            </w:pPr>
            <w:r w:rsidRPr="00B85D8F">
              <w:rPr>
                <w:b/>
              </w:rPr>
              <w:t>Papperslösa migranter</w:t>
            </w:r>
          </w:p>
        </w:tc>
        <w:tc>
          <w:tcPr>
            <w:tcW w:w="1134" w:type="dxa"/>
            <w:shd w:val="clear" w:color="auto" w:fill="ACB9CA" w:themeFill="text2" w:themeFillTint="66"/>
          </w:tcPr>
          <w:p w14:paraId="684C27E5" w14:textId="77777777" w:rsidR="008C448D" w:rsidRPr="00B85D8F" w:rsidRDefault="008C448D" w:rsidP="00EE7E8C"/>
        </w:tc>
        <w:tc>
          <w:tcPr>
            <w:tcW w:w="7400" w:type="dxa"/>
            <w:shd w:val="clear" w:color="auto" w:fill="ACB9CA" w:themeFill="text2" w:themeFillTint="66"/>
          </w:tcPr>
          <w:p w14:paraId="33695741" w14:textId="77777777" w:rsidR="008C448D" w:rsidRPr="00B85D8F" w:rsidRDefault="008C448D" w:rsidP="00EE7E8C"/>
        </w:tc>
      </w:tr>
      <w:tr w:rsidR="008C448D" w:rsidRPr="0010551D" w14:paraId="342275E5" w14:textId="77777777" w:rsidTr="008C448D">
        <w:tc>
          <w:tcPr>
            <w:tcW w:w="850" w:type="dxa"/>
          </w:tcPr>
          <w:p w14:paraId="6E044767" w14:textId="3000B7AE" w:rsidR="008C448D" w:rsidRDefault="008C448D" w:rsidP="00E3224A">
            <w:pPr>
              <w:rPr>
                <w:b/>
                <w:lang w:val="en-GB"/>
              </w:rPr>
            </w:pPr>
            <w:r>
              <w:rPr>
                <w:b/>
                <w:lang w:val="en-GB"/>
              </w:rPr>
              <w:t>17</w:t>
            </w:r>
          </w:p>
        </w:tc>
        <w:tc>
          <w:tcPr>
            <w:tcW w:w="6663" w:type="dxa"/>
          </w:tcPr>
          <w:p w14:paraId="35343441" w14:textId="25B1F425" w:rsidR="008C448D" w:rsidRPr="00C313D6" w:rsidRDefault="008C448D" w:rsidP="00437931">
            <w:pPr>
              <w:rPr>
                <w:lang w:val="en-GB"/>
              </w:rPr>
            </w:pPr>
            <w:r>
              <w:rPr>
                <w:lang w:val="en-GB"/>
              </w:rPr>
              <w:t>T</w:t>
            </w:r>
            <w:r w:rsidRPr="00437931">
              <w:rPr>
                <w:lang w:val="en-GB"/>
              </w:rPr>
              <w:t>ake measures to ensure that any immigration policy does not impede the equal access of migrants, in particular migrant children and undocumented migrants, to services essential for the realization of economic, social and cultural rights, including health care and education.</w:t>
            </w:r>
          </w:p>
        </w:tc>
        <w:tc>
          <w:tcPr>
            <w:tcW w:w="1134" w:type="dxa"/>
          </w:tcPr>
          <w:p w14:paraId="2EC56294" w14:textId="780B0585" w:rsidR="008C448D" w:rsidRDefault="008C448D" w:rsidP="00EE7E8C">
            <w:pPr>
              <w:rPr>
                <w:lang w:val="en-GB"/>
              </w:rPr>
            </w:pPr>
            <w:r>
              <w:rPr>
                <w:lang w:val="en-GB"/>
              </w:rPr>
              <w:t>2(2).</w:t>
            </w:r>
          </w:p>
        </w:tc>
        <w:tc>
          <w:tcPr>
            <w:tcW w:w="7400" w:type="dxa"/>
          </w:tcPr>
          <w:p w14:paraId="721F418B" w14:textId="77777777" w:rsidR="008C448D" w:rsidRDefault="008C448D" w:rsidP="00EE7E8C">
            <w:pPr>
              <w:rPr>
                <w:lang w:val="en-GB"/>
              </w:rPr>
            </w:pPr>
          </w:p>
        </w:tc>
      </w:tr>
      <w:tr w:rsidR="008C448D" w:rsidRPr="0010551D" w14:paraId="71E65989" w14:textId="77777777" w:rsidTr="008C448D">
        <w:tc>
          <w:tcPr>
            <w:tcW w:w="850" w:type="dxa"/>
            <w:shd w:val="clear" w:color="auto" w:fill="ACB9CA" w:themeFill="text2" w:themeFillTint="66"/>
          </w:tcPr>
          <w:p w14:paraId="40DD8FA7" w14:textId="77777777" w:rsidR="008C448D" w:rsidRPr="00B85D8F" w:rsidRDefault="008C448D" w:rsidP="00E3224A">
            <w:pPr>
              <w:rPr>
                <w:b/>
              </w:rPr>
            </w:pPr>
          </w:p>
        </w:tc>
        <w:tc>
          <w:tcPr>
            <w:tcW w:w="6663" w:type="dxa"/>
            <w:shd w:val="clear" w:color="auto" w:fill="ACB9CA" w:themeFill="text2" w:themeFillTint="66"/>
          </w:tcPr>
          <w:p w14:paraId="0EDCD0F6" w14:textId="523DADC2" w:rsidR="008C448D" w:rsidRPr="00B85D8F" w:rsidRDefault="008C448D" w:rsidP="00E3224A">
            <w:pPr>
              <w:rPr>
                <w:b/>
              </w:rPr>
            </w:pPr>
            <w:r w:rsidRPr="00B85D8F">
              <w:rPr>
                <w:b/>
              </w:rPr>
              <w:t xml:space="preserve">Företag och mänskliga rättigheter </w:t>
            </w:r>
          </w:p>
        </w:tc>
        <w:tc>
          <w:tcPr>
            <w:tcW w:w="1134" w:type="dxa"/>
            <w:shd w:val="clear" w:color="auto" w:fill="ACB9CA" w:themeFill="text2" w:themeFillTint="66"/>
          </w:tcPr>
          <w:p w14:paraId="4849384C" w14:textId="77777777" w:rsidR="008C448D" w:rsidRPr="00B85D8F" w:rsidRDefault="008C448D" w:rsidP="00EE7E8C"/>
        </w:tc>
        <w:tc>
          <w:tcPr>
            <w:tcW w:w="7400" w:type="dxa"/>
            <w:shd w:val="clear" w:color="auto" w:fill="ACB9CA" w:themeFill="text2" w:themeFillTint="66"/>
          </w:tcPr>
          <w:p w14:paraId="1B99AF4A" w14:textId="77777777" w:rsidR="008C448D" w:rsidRPr="00B85D8F" w:rsidRDefault="008C448D" w:rsidP="00EE7E8C"/>
        </w:tc>
      </w:tr>
      <w:tr w:rsidR="008C448D" w:rsidRPr="00DC5533" w14:paraId="581785E4" w14:textId="77777777" w:rsidTr="008C448D">
        <w:tc>
          <w:tcPr>
            <w:tcW w:w="850" w:type="dxa"/>
          </w:tcPr>
          <w:p w14:paraId="334190C1" w14:textId="7EE099D7" w:rsidR="008C448D" w:rsidRPr="00EE7E8C" w:rsidRDefault="008C448D" w:rsidP="00E3224A">
            <w:pPr>
              <w:rPr>
                <w:b/>
                <w:lang w:val="en-GB"/>
              </w:rPr>
            </w:pPr>
            <w:r>
              <w:rPr>
                <w:b/>
                <w:lang w:val="en-GB"/>
              </w:rPr>
              <w:t>19(a)</w:t>
            </w:r>
          </w:p>
        </w:tc>
        <w:tc>
          <w:tcPr>
            <w:tcW w:w="6663" w:type="dxa"/>
          </w:tcPr>
          <w:p w14:paraId="755B0218" w14:textId="7628D50B" w:rsidR="008C448D" w:rsidRPr="00EE7E8C" w:rsidRDefault="008C448D" w:rsidP="008811E6">
            <w:pPr>
              <w:rPr>
                <w:lang w:val="en-GB"/>
              </w:rPr>
            </w:pPr>
            <w:r w:rsidRPr="008811E6">
              <w:rPr>
                <w:lang w:val="en-GB"/>
              </w:rPr>
              <w:t>Actively engage in discussions on and commit to multilateral negotiations and agreements, such as the European Union Corporate Sustainability Due Diligence Directive, while advocating for provisions that align with international human rights standards, including the Guiding Principles on Business and Human Right</w:t>
            </w:r>
            <w:r>
              <w:rPr>
                <w:lang w:val="en-GB"/>
              </w:rPr>
              <w:t>s.</w:t>
            </w:r>
          </w:p>
        </w:tc>
        <w:tc>
          <w:tcPr>
            <w:tcW w:w="1134" w:type="dxa"/>
          </w:tcPr>
          <w:p w14:paraId="3F6C4596" w14:textId="54217870" w:rsidR="008C448D" w:rsidRDefault="008C448D" w:rsidP="00EE7E8C">
            <w:pPr>
              <w:rPr>
                <w:lang w:val="en-GB"/>
              </w:rPr>
            </w:pPr>
            <w:r>
              <w:rPr>
                <w:lang w:val="en-GB"/>
              </w:rPr>
              <w:t>1(2).</w:t>
            </w:r>
            <w:r w:rsidRPr="00734715">
              <w:rPr>
                <w:lang w:val="en-GB"/>
              </w:rPr>
              <w:t xml:space="preserve"> 2</w:t>
            </w:r>
            <w:r>
              <w:rPr>
                <w:lang w:val="en-GB"/>
              </w:rPr>
              <w:t>.</w:t>
            </w:r>
          </w:p>
        </w:tc>
        <w:tc>
          <w:tcPr>
            <w:tcW w:w="7400" w:type="dxa"/>
          </w:tcPr>
          <w:p w14:paraId="3FCDE002" w14:textId="6406DD54" w:rsidR="008C448D" w:rsidRPr="007A4600" w:rsidRDefault="00A93D0D" w:rsidP="00EE7E8C">
            <w:r w:rsidRPr="007A4600">
              <w:t xml:space="preserve">Funktionsrätt Sverige </w:t>
            </w:r>
            <w:r w:rsidR="007A4600" w:rsidRPr="007A4600">
              <w:t xml:space="preserve">betonar synergier </w:t>
            </w:r>
            <w:r w:rsidR="007A4600">
              <w:t>CRPD. Det finns internationella riktlinjer och stödmaterial som kan utvecklas, spridas och användas nationellt</w:t>
            </w:r>
            <w:r w:rsidR="003A76AC">
              <w:t>.</w:t>
            </w:r>
          </w:p>
        </w:tc>
      </w:tr>
      <w:tr w:rsidR="008C448D" w:rsidRPr="00DC5533" w14:paraId="314CB8AF" w14:textId="77777777" w:rsidTr="008C448D">
        <w:tc>
          <w:tcPr>
            <w:tcW w:w="850" w:type="dxa"/>
          </w:tcPr>
          <w:p w14:paraId="1C1778AD" w14:textId="480ED6D7" w:rsidR="008C448D" w:rsidRDefault="008C448D" w:rsidP="00E3224A">
            <w:pPr>
              <w:rPr>
                <w:b/>
                <w:lang w:val="en-GB"/>
              </w:rPr>
            </w:pPr>
            <w:r>
              <w:rPr>
                <w:b/>
                <w:lang w:val="en-GB"/>
              </w:rPr>
              <w:t>19(b)</w:t>
            </w:r>
          </w:p>
        </w:tc>
        <w:tc>
          <w:tcPr>
            <w:tcW w:w="6663" w:type="dxa"/>
          </w:tcPr>
          <w:p w14:paraId="4B7D4EE0" w14:textId="2D90539C" w:rsidR="008C448D" w:rsidRPr="00C313D6" w:rsidRDefault="008C448D" w:rsidP="008811E6">
            <w:pPr>
              <w:rPr>
                <w:lang w:val="en-GB"/>
              </w:rPr>
            </w:pPr>
            <w:r w:rsidRPr="008811E6">
              <w:rPr>
                <w:lang w:val="en-GB"/>
              </w:rPr>
              <w:t>Establish clear, transparent and enforceable standards to ensure that State-owned businesses adhere to the required standards of “exemplary conduct”, while conducting regular monitoring and requiring public reporting</w:t>
            </w:r>
            <w:r>
              <w:rPr>
                <w:lang w:val="en-GB"/>
              </w:rPr>
              <w:t>.</w:t>
            </w:r>
          </w:p>
        </w:tc>
        <w:tc>
          <w:tcPr>
            <w:tcW w:w="1134" w:type="dxa"/>
          </w:tcPr>
          <w:p w14:paraId="2147D2E6" w14:textId="0BB14430" w:rsidR="008C448D" w:rsidRDefault="008C448D" w:rsidP="00EE7E8C">
            <w:pPr>
              <w:rPr>
                <w:lang w:val="en-GB"/>
              </w:rPr>
            </w:pPr>
            <w:r>
              <w:rPr>
                <w:lang w:val="en-GB"/>
              </w:rPr>
              <w:t>2(1)</w:t>
            </w:r>
          </w:p>
        </w:tc>
        <w:tc>
          <w:tcPr>
            <w:tcW w:w="7400" w:type="dxa"/>
          </w:tcPr>
          <w:p w14:paraId="6A35E986" w14:textId="77777777" w:rsidR="008C448D" w:rsidRDefault="008C448D" w:rsidP="00EE7E8C">
            <w:pPr>
              <w:rPr>
                <w:lang w:val="en-GB"/>
              </w:rPr>
            </w:pPr>
          </w:p>
        </w:tc>
      </w:tr>
      <w:tr w:rsidR="008C448D" w:rsidRPr="00DC5533" w14:paraId="430A4F2D" w14:textId="77777777" w:rsidTr="008C448D">
        <w:tc>
          <w:tcPr>
            <w:tcW w:w="850" w:type="dxa"/>
          </w:tcPr>
          <w:p w14:paraId="76232B2D" w14:textId="5ECE10A9" w:rsidR="008C448D" w:rsidRDefault="008C448D" w:rsidP="00E3224A">
            <w:pPr>
              <w:rPr>
                <w:b/>
                <w:lang w:val="en-GB"/>
              </w:rPr>
            </w:pPr>
            <w:r>
              <w:rPr>
                <w:b/>
                <w:lang w:val="en-GB"/>
              </w:rPr>
              <w:lastRenderedPageBreak/>
              <w:t>19(c)</w:t>
            </w:r>
          </w:p>
        </w:tc>
        <w:tc>
          <w:tcPr>
            <w:tcW w:w="6663" w:type="dxa"/>
          </w:tcPr>
          <w:p w14:paraId="3E3C419A" w14:textId="2E3DE92A" w:rsidR="008C448D" w:rsidRPr="00C313D6" w:rsidRDefault="008C448D" w:rsidP="00091F8D">
            <w:pPr>
              <w:rPr>
                <w:lang w:val="en-GB"/>
              </w:rPr>
            </w:pPr>
            <w:r w:rsidRPr="00091F8D">
              <w:rPr>
                <w:lang w:val="en-GB"/>
              </w:rPr>
              <w:t>Remove barriers faced by victims of human rights violations arising from business activities, including by reviewing the application of statutes of limitations, and strengthen the means by which victims can seek and obtain effective remedies</w:t>
            </w:r>
            <w:r>
              <w:rPr>
                <w:lang w:val="en-GB"/>
              </w:rPr>
              <w:t>.</w:t>
            </w:r>
          </w:p>
        </w:tc>
        <w:tc>
          <w:tcPr>
            <w:tcW w:w="1134" w:type="dxa"/>
          </w:tcPr>
          <w:p w14:paraId="28AD8C49" w14:textId="2A91AB7F" w:rsidR="008C448D" w:rsidRDefault="008C448D" w:rsidP="00EE7E8C">
            <w:pPr>
              <w:rPr>
                <w:lang w:val="en-GB"/>
              </w:rPr>
            </w:pPr>
            <w:r>
              <w:rPr>
                <w:lang w:val="en-GB"/>
              </w:rPr>
              <w:t>2(1)</w:t>
            </w:r>
          </w:p>
        </w:tc>
        <w:tc>
          <w:tcPr>
            <w:tcW w:w="7400" w:type="dxa"/>
          </w:tcPr>
          <w:p w14:paraId="479F3D95" w14:textId="77777777" w:rsidR="008C448D" w:rsidRDefault="008C448D" w:rsidP="00EE7E8C">
            <w:pPr>
              <w:rPr>
                <w:lang w:val="en-GB"/>
              </w:rPr>
            </w:pPr>
          </w:p>
        </w:tc>
      </w:tr>
      <w:tr w:rsidR="008C448D" w:rsidRPr="00DC5533" w14:paraId="6D0042DF" w14:textId="77777777" w:rsidTr="008C448D">
        <w:tc>
          <w:tcPr>
            <w:tcW w:w="850" w:type="dxa"/>
          </w:tcPr>
          <w:p w14:paraId="21479922" w14:textId="24E930B6" w:rsidR="008C448D" w:rsidRDefault="008C448D" w:rsidP="00E3224A">
            <w:pPr>
              <w:rPr>
                <w:b/>
                <w:lang w:val="en-GB"/>
              </w:rPr>
            </w:pPr>
            <w:r>
              <w:rPr>
                <w:b/>
                <w:lang w:val="en-GB"/>
              </w:rPr>
              <w:t>19(d)</w:t>
            </w:r>
          </w:p>
        </w:tc>
        <w:tc>
          <w:tcPr>
            <w:tcW w:w="6663" w:type="dxa"/>
          </w:tcPr>
          <w:p w14:paraId="51059F3B" w14:textId="4ACE9AF0" w:rsidR="008C448D" w:rsidRPr="00091F8D" w:rsidRDefault="008C448D" w:rsidP="00091F8D">
            <w:pPr>
              <w:rPr>
                <w:lang w:val="en-GB"/>
              </w:rPr>
            </w:pPr>
            <w:r w:rsidRPr="00091F8D">
              <w:rPr>
                <w:lang w:val="en-GB"/>
              </w:rPr>
              <w:t xml:space="preserve">Adopt comprehensive measures to protect the rights of the Sámi people against the adverse effects of large development projects, including through environmental and human rights impact assessments in consultation with the Sámi, ensuring their free, prior and informed consent before initiating such projects, and </w:t>
            </w:r>
          </w:p>
          <w:p w14:paraId="52CA7129" w14:textId="07473FFF" w:rsidR="008C448D" w:rsidRPr="00C313D6" w:rsidRDefault="008C448D" w:rsidP="00091F8D">
            <w:pPr>
              <w:rPr>
                <w:lang w:val="en-GB"/>
              </w:rPr>
            </w:pPr>
            <w:r w:rsidRPr="00091F8D">
              <w:rPr>
                <w:lang w:val="en-GB"/>
              </w:rPr>
              <w:t>establish mechanisms to mitigate and compensate for any negative impacts on their traditional lifestyles and reindeer herding activities</w:t>
            </w:r>
            <w:r>
              <w:rPr>
                <w:lang w:val="en-GB"/>
              </w:rPr>
              <w:t>.</w:t>
            </w:r>
          </w:p>
        </w:tc>
        <w:tc>
          <w:tcPr>
            <w:tcW w:w="1134" w:type="dxa"/>
          </w:tcPr>
          <w:p w14:paraId="3B641A7F" w14:textId="23164026" w:rsidR="008C448D" w:rsidRDefault="008C448D" w:rsidP="00EE7E8C">
            <w:pPr>
              <w:rPr>
                <w:lang w:val="en-GB"/>
              </w:rPr>
            </w:pPr>
            <w:r>
              <w:rPr>
                <w:lang w:val="en-GB"/>
              </w:rPr>
              <w:t>1(2).</w:t>
            </w:r>
            <w:r w:rsidRPr="00734715">
              <w:rPr>
                <w:lang w:val="en-GB"/>
              </w:rPr>
              <w:t xml:space="preserve"> 2</w:t>
            </w:r>
            <w:r>
              <w:rPr>
                <w:lang w:val="en-GB"/>
              </w:rPr>
              <w:t>.</w:t>
            </w:r>
          </w:p>
        </w:tc>
        <w:tc>
          <w:tcPr>
            <w:tcW w:w="7400" w:type="dxa"/>
          </w:tcPr>
          <w:p w14:paraId="2DFA0E38" w14:textId="77777777" w:rsidR="008C448D" w:rsidRDefault="008C448D" w:rsidP="00EE7E8C">
            <w:pPr>
              <w:rPr>
                <w:lang w:val="en-GB"/>
              </w:rPr>
            </w:pPr>
          </w:p>
        </w:tc>
      </w:tr>
      <w:tr w:rsidR="008C448D" w:rsidRPr="00D53AF9" w14:paraId="1D13A960" w14:textId="139A1D07" w:rsidTr="008C448D">
        <w:tc>
          <w:tcPr>
            <w:tcW w:w="850" w:type="dxa"/>
          </w:tcPr>
          <w:p w14:paraId="68CA78E0" w14:textId="5E44D9F0" w:rsidR="008C448D" w:rsidRPr="008808C6" w:rsidRDefault="008C448D" w:rsidP="008808C6">
            <w:pPr>
              <w:rPr>
                <w:b/>
                <w:lang w:val="en-GB"/>
              </w:rPr>
            </w:pPr>
            <w:r>
              <w:rPr>
                <w:b/>
                <w:lang w:val="en-GB"/>
              </w:rPr>
              <w:t>19(e)</w:t>
            </w:r>
            <w:r w:rsidRPr="008808C6">
              <w:rPr>
                <w:b/>
                <w:lang w:val="en-GB"/>
              </w:rPr>
              <w:t xml:space="preserve"> </w:t>
            </w:r>
          </w:p>
        </w:tc>
        <w:tc>
          <w:tcPr>
            <w:tcW w:w="6663" w:type="dxa"/>
          </w:tcPr>
          <w:p w14:paraId="3A8C0BE8" w14:textId="47CF9075" w:rsidR="008C448D" w:rsidRPr="006B5570" w:rsidRDefault="008C448D" w:rsidP="00E3224A">
            <w:pPr>
              <w:rPr>
                <w:lang w:val="en-GB"/>
              </w:rPr>
            </w:pPr>
            <w:r w:rsidRPr="008808C6">
              <w:rPr>
                <w:lang w:val="en-GB"/>
              </w:rPr>
              <w:t xml:space="preserve">Be guided by </w:t>
            </w:r>
            <w:hyperlink r:id="rId11" w:history="1">
              <w:r w:rsidRPr="008808C6">
                <w:rPr>
                  <w:rStyle w:val="Hyperlnk"/>
                  <w:lang w:val="en-GB"/>
                </w:rPr>
                <w:t>general comment no. 24 (2017)</w:t>
              </w:r>
            </w:hyperlink>
            <w:r w:rsidRPr="008808C6">
              <w:rPr>
                <w:lang w:val="en-GB"/>
              </w:rPr>
              <w:t xml:space="preserve"> on State obligations under the International Covenant on Economic, Social and </w:t>
            </w:r>
            <w:r>
              <w:rPr>
                <w:lang w:val="en-GB"/>
              </w:rPr>
              <w:t xml:space="preserve">Cultural Rights in the context </w:t>
            </w:r>
            <w:r w:rsidRPr="008808C6">
              <w:rPr>
                <w:lang w:val="en-GB"/>
              </w:rPr>
              <w:t>of business activities.</w:t>
            </w:r>
          </w:p>
        </w:tc>
        <w:tc>
          <w:tcPr>
            <w:tcW w:w="1134" w:type="dxa"/>
          </w:tcPr>
          <w:p w14:paraId="29B197A7" w14:textId="77777777" w:rsidR="008C448D" w:rsidRPr="006B5570" w:rsidRDefault="008C448D" w:rsidP="00E3224A">
            <w:pPr>
              <w:rPr>
                <w:lang w:val="en-GB"/>
              </w:rPr>
            </w:pPr>
          </w:p>
        </w:tc>
        <w:tc>
          <w:tcPr>
            <w:tcW w:w="7400" w:type="dxa"/>
          </w:tcPr>
          <w:p w14:paraId="1A58627F" w14:textId="77777777" w:rsidR="008C448D" w:rsidRPr="006B5570" w:rsidRDefault="008C448D" w:rsidP="00E3224A">
            <w:pPr>
              <w:rPr>
                <w:lang w:val="en-GB"/>
              </w:rPr>
            </w:pPr>
          </w:p>
        </w:tc>
      </w:tr>
      <w:tr w:rsidR="008C448D" w:rsidRPr="001B1869" w14:paraId="5BE285AB" w14:textId="77777777" w:rsidTr="008C448D">
        <w:tc>
          <w:tcPr>
            <w:tcW w:w="850" w:type="dxa"/>
            <w:shd w:val="clear" w:color="auto" w:fill="ACB9CA" w:themeFill="text2" w:themeFillTint="66"/>
          </w:tcPr>
          <w:p w14:paraId="3D427B46" w14:textId="77777777" w:rsidR="008C448D" w:rsidRPr="002677C5" w:rsidRDefault="008C448D" w:rsidP="008808C6">
            <w:pPr>
              <w:rPr>
                <w:b/>
                <w:lang w:val="en-GB"/>
              </w:rPr>
            </w:pPr>
          </w:p>
        </w:tc>
        <w:tc>
          <w:tcPr>
            <w:tcW w:w="6663" w:type="dxa"/>
            <w:shd w:val="clear" w:color="auto" w:fill="ACB9CA" w:themeFill="text2" w:themeFillTint="66"/>
          </w:tcPr>
          <w:p w14:paraId="3A80140E" w14:textId="4B2445EB" w:rsidR="008C448D" w:rsidRPr="00B85D8F" w:rsidRDefault="008C448D" w:rsidP="00E3224A">
            <w:pPr>
              <w:rPr>
                <w:b/>
              </w:rPr>
            </w:pPr>
            <w:r w:rsidRPr="00B85D8F">
              <w:rPr>
                <w:b/>
              </w:rPr>
              <w:t xml:space="preserve">Icke-diskriminering </w:t>
            </w:r>
          </w:p>
        </w:tc>
        <w:tc>
          <w:tcPr>
            <w:tcW w:w="1134" w:type="dxa"/>
            <w:shd w:val="clear" w:color="auto" w:fill="ACB9CA" w:themeFill="text2" w:themeFillTint="66"/>
          </w:tcPr>
          <w:p w14:paraId="5E8E3EF1" w14:textId="77777777" w:rsidR="008C448D" w:rsidRPr="00B85D8F" w:rsidRDefault="008C448D" w:rsidP="00E3224A"/>
        </w:tc>
        <w:tc>
          <w:tcPr>
            <w:tcW w:w="7400" w:type="dxa"/>
            <w:shd w:val="clear" w:color="auto" w:fill="ACB9CA" w:themeFill="text2" w:themeFillTint="66"/>
          </w:tcPr>
          <w:p w14:paraId="0C19FBEE" w14:textId="77777777" w:rsidR="008C448D" w:rsidRPr="00B85D8F" w:rsidRDefault="008C448D" w:rsidP="00E3224A"/>
        </w:tc>
      </w:tr>
      <w:tr w:rsidR="008C448D" w:rsidRPr="0010551D" w14:paraId="11B35792" w14:textId="77777777" w:rsidTr="008C448D">
        <w:tc>
          <w:tcPr>
            <w:tcW w:w="850" w:type="dxa"/>
          </w:tcPr>
          <w:p w14:paraId="77974A9F" w14:textId="26B0F164" w:rsidR="008C448D" w:rsidRPr="008808C6" w:rsidRDefault="008C448D" w:rsidP="008808C6">
            <w:pPr>
              <w:rPr>
                <w:b/>
                <w:lang w:val="en-GB"/>
              </w:rPr>
            </w:pPr>
            <w:r>
              <w:rPr>
                <w:b/>
                <w:lang w:val="en-GB"/>
              </w:rPr>
              <w:t>21(a)</w:t>
            </w:r>
          </w:p>
        </w:tc>
        <w:tc>
          <w:tcPr>
            <w:tcW w:w="6663" w:type="dxa"/>
          </w:tcPr>
          <w:p w14:paraId="0216A389" w14:textId="0DBC1551" w:rsidR="008C448D" w:rsidRPr="008808C6" w:rsidRDefault="008C448D" w:rsidP="0054405E">
            <w:pPr>
              <w:rPr>
                <w:lang w:val="en-GB"/>
              </w:rPr>
            </w:pPr>
            <w:r w:rsidRPr="0054405E">
              <w:rPr>
                <w:lang w:val="en-GB"/>
              </w:rPr>
              <w:t>Consider revising the Discrimination Act to include socioeconomic status and political opinion in the list of prohibited grounds of discrimination</w:t>
            </w:r>
            <w:r>
              <w:rPr>
                <w:lang w:val="en-GB"/>
              </w:rPr>
              <w:t>.</w:t>
            </w:r>
          </w:p>
        </w:tc>
        <w:tc>
          <w:tcPr>
            <w:tcW w:w="1134" w:type="dxa"/>
          </w:tcPr>
          <w:p w14:paraId="398C764B" w14:textId="7608C285" w:rsidR="008C448D" w:rsidRPr="006B5570" w:rsidRDefault="008C448D" w:rsidP="00E3224A">
            <w:pPr>
              <w:rPr>
                <w:lang w:val="en-GB"/>
              </w:rPr>
            </w:pPr>
            <w:r w:rsidRPr="00734715">
              <w:rPr>
                <w:lang w:val="en-GB"/>
              </w:rPr>
              <w:t>2(2)</w:t>
            </w:r>
            <w:r>
              <w:rPr>
                <w:lang w:val="en-GB"/>
              </w:rPr>
              <w:t>.</w:t>
            </w:r>
          </w:p>
        </w:tc>
        <w:tc>
          <w:tcPr>
            <w:tcW w:w="7400" w:type="dxa"/>
          </w:tcPr>
          <w:p w14:paraId="02A51215" w14:textId="5C4F4B54" w:rsidR="008C448D" w:rsidRPr="00DB3F3D" w:rsidRDefault="00DB3F3D" w:rsidP="00E3224A">
            <w:r w:rsidRPr="00DB3F3D">
              <w:t>Se över synergier me</w:t>
            </w:r>
            <w:r w:rsidR="007C71C7">
              <w:t>d CRDP-rek art. 5</w:t>
            </w:r>
          </w:p>
        </w:tc>
      </w:tr>
      <w:tr w:rsidR="008C448D" w:rsidRPr="0010551D" w14:paraId="4C274E53" w14:textId="77777777" w:rsidTr="008C448D">
        <w:tc>
          <w:tcPr>
            <w:tcW w:w="850" w:type="dxa"/>
          </w:tcPr>
          <w:p w14:paraId="59D3BC56" w14:textId="0EE04C8C" w:rsidR="008C448D" w:rsidRDefault="008C448D" w:rsidP="008808C6">
            <w:pPr>
              <w:rPr>
                <w:b/>
                <w:lang w:val="en-GB"/>
              </w:rPr>
            </w:pPr>
            <w:r>
              <w:rPr>
                <w:b/>
                <w:lang w:val="en-GB"/>
              </w:rPr>
              <w:t>21(b</w:t>
            </w:r>
            <w:r w:rsidRPr="00F672A9">
              <w:rPr>
                <w:b/>
                <w:lang w:val="en-GB"/>
              </w:rPr>
              <w:t>)</w:t>
            </w:r>
          </w:p>
        </w:tc>
        <w:tc>
          <w:tcPr>
            <w:tcW w:w="6663" w:type="dxa"/>
          </w:tcPr>
          <w:p w14:paraId="2AED239C" w14:textId="502A198C" w:rsidR="008C448D" w:rsidRPr="0054405E" w:rsidRDefault="008C448D" w:rsidP="00E3224A">
            <w:pPr>
              <w:rPr>
                <w:lang w:val="en-GB"/>
              </w:rPr>
            </w:pPr>
            <w:r w:rsidRPr="0054405E">
              <w:rPr>
                <w:lang w:val="en-GB"/>
              </w:rPr>
              <w:t>Expedite the review of the Discrimination Act, expanding its scope so as to ensure its application in all areas, in particular with respect to acts of public officials</w:t>
            </w:r>
            <w:r>
              <w:rPr>
                <w:lang w:val="en-GB"/>
              </w:rPr>
              <w:t>.</w:t>
            </w:r>
          </w:p>
        </w:tc>
        <w:tc>
          <w:tcPr>
            <w:tcW w:w="1134" w:type="dxa"/>
          </w:tcPr>
          <w:p w14:paraId="667BCE84" w14:textId="491B62AD" w:rsidR="008C448D" w:rsidRPr="006B5570" w:rsidRDefault="008C448D" w:rsidP="00E3224A">
            <w:pPr>
              <w:rPr>
                <w:lang w:val="en-GB"/>
              </w:rPr>
            </w:pPr>
            <w:r w:rsidRPr="00734715">
              <w:rPr>
                <w:lang w:val="en-GB"/>
              </w:rPr>
              <w:t>2(2)</w:t>
            </w:r>
            <w:r>
              <w:rPr>
                <w:lang w:val="en-GB"/>
              </w:rPr>
              <w:t>.</w:t>
            </w:r>
          </w:p>
        </w:tc>
        <w:tc>
          <w:tcPr>
            <w:tcW w:w="7400" w:type="dxa"/>
          </w:tcPr>
          <w:p w14:paraId="5A09FC77" w14:textId="44B13D15" w:rsidR="008C448D" w:rsidRPr="00952AFF" w:rsidRDefault="00952AFF" w:rsidP="00E3224A">
            <w:r w:rsidRPr="008818DE">
              <w:rPr>
                <w:highlight w:val="yellow"/>
              </w:rPr>
              <w:t>Synergier CRPD-rek</w:t>
            </w:r>
            <w:r w:rsidRPr="008818DE">
              <w:rPr>
                <w:highlight w:val="yellow"/>
              </w:rPr>
              <w:t xml:space="preserve"> art 5, OBS även rekommendationer från 2014 som rör offentlig verksamhet. Viktigt när lagrådsremiss </w:t>
            </w:r>
            <w:r w:rsidR="00AB4F41">
              <w:rPr>
                <w:highlight w:val="yellow"/>
              </w:rPr>
              <w:t xml:space="preserve">lär vara under </w:t>
            </w:r>
            <w:r w:rsidRPr="008818DE">
              <w:rPr>
                <w:highlight w:val="yellow"/>
              </w:rPr>
              <w:t>bered</w:t>
            </w:r>
            <w:r w:rsidR="00AB4F41">
              <w:rPr>
                <w:highlight w:val="yellow"/>
              </w:rPr>
              <w:t>ning</w:t>
            </w:r>
            <w:r w:rsidR="008818DE" w:rsidRPr="008818DE">
              <w:rPr>
                <w:highlight w:val="yellow"/>
              </w:rPr>
              <w:t>.</w:t>
            </w:r>
          </w:p>
        </w:tc>
      </w:tr>
      <w:tr w:rsidR="008C448D" w:rsidRPr="0010551D" w14:paraId="3394E264" w14:textId="77777777" w:rsidTr="008C448D">
        <w:tc>
          <w:tcPr>
            <w:tcW w:w="850" w:type="dxa"/>
          </w:tcPr>
          <w:p w14:paraId="7A1F2D1E" w14:textId="739D71AA" w:rsidR="008C448D" w:rsidRDefault="008C448D" w:rsidP="008808C6">
            <w:pPr>
              <w:rPr>
                <w:b/>
                <w:lang w:val="en-GB"/>
              </w:rPr>
            </w:pPr>
            <w:r>
              <w:rPr>
                <w:b/>
                <w:lang w:val="en-GB"/>
              </w:rPr>
              <w:t>21(c)</w:t>
            </w:r>
          </w:p>
        </w:tc>
        <w:tc>
          <w:tcPr>
            <w:tcW w:w="6663" w:type="dxa"/>
          </w:tcPr>
          <w:p w14:paraId="1912CCCA" w14:textId="09AA952B" w:rsidR="008C448D" w:rsidRPr="0054405E" w:rsidRDefault="008C448D" w:rsidP="00E3224A">
            <w:pPr>
              <w:rPr>
                <w:lang w:val="en-GB"/>
              </w:rPr>
            </w:pPr>
            <w:r w:rsidRPr="0054405E">
              <w:rPr>
                <w:lang w:val="en-GB"/>
              </w:rPr>
              <w:t>Improve its data collection system, including through the use of proxy indicators, such as mother tongue, in order to produce reliable data disaggregated by prohibited grounds of discrimination and to identify those groups that are disadvantaged in the enjoyment of economic, social and cultural rights</w:t>
            </w:r>
            <w:r>
              <w:rPr>
                <w:lang w:val="en-GB"/>
              </w:rPr>
              <w:t>.</w:t>
            </w:r>
          </w:p>
        </w:tc>
        <w:tc>
          <w:tcPr>
            <w:tcW w:w="1134" w:type="dxa"/>
          </w:tcPr>
          <w:p w14:paraId="014722A6" w14:textId="202CD7C7" w:rsidR="008C448D" w:rsidRPr="006B5570" w:rsidRDefault="008C448D" w:rsidP="00E3224A">
            <w:pPr>
              <w:rPr>
                <w:lang w:val="en-GB"/>
              </w:rPr>
            </w:pPr>
            <w:r w:rsidRPr="00734715">
              <w:rPr>
                <w:lang w:val="en-GB"/>
              </w:rPr>
              <w:t>2(2)</w:t>
            </w:r>
            <w:r>
              <w:rPr>
                <w:lang w:val="en-GB"/>
              </w:rPr>
              <w:t>.</w:t>
            </w:r>
          </w:p>
        </w:tc>
        <w:tc>
          <w:tcPr>
            <w:tcW w:w="7400" w:type="dxa"/>
          </w:tcPr>
          <w:p w14:paraId="450A34B5" w14:textId="364397B7" w:rsidR="008C448D" w:rsidRPr="007C71C7" w:rsidRDefault="007C71C7" w:rsidP="00E3224A">
            <w:r w:rsidRPr="00DB3F3D">
              <w:t>Se över synergier me</w:t>
            </w:r>
            <w:r>
              <w:t>d CRDP-rek art. 5</w:t>
            </w:r>
          </w:p>
        </w:tc>
      </w:tr>
      <w:tr w:rsidR="008C448D" w:rsidRPr="0010551D" w14:paraId="4575F935" w14:textId="77777777" w:rsidTr="008C448D">
        <w:tc>
          <w:tcPr>
            <w:tcW w:w="850" w:type="dxa"/>
          </w:tcPr>
          <w:p w14:paraId="72E5A3D3" w14:textId="007719C1" w:rsidR="008C448D" w:rsidRDefault="008C448D" w:rsidP="008808C6">
            <w:pPr>
              <w:rPr>
                <w:b/>
                <w:lang w:val="en-GB"/>
              </w:rPr>
            </w:pPr>
            <w:r>
              <w:rPr>
                <w:b/>
                <w:lang w:val="en-GB"/>
              </w:rPr>
              <w:t>21(d)</w:t>
            </w:r>
          </w:p>
        </w:tc>
        <w:tc>
          <w:tcPr>
            <w:tcW w:w="6663" w:type="dxa"/>
          </w:tcPr>
          <w:p w14:paraId="6ECAD374" w14:textId="1DED804E" w:rsidR="008C448D" w:rsidRPr="0054405E" w:rsidRDefault="008C448D" w:rsidP="00E3224A">
            <w:pPr>
              <w:rPr>
                <w:lang w:val="en-GB"/>
              </w:rPr>
            </w:pPr>
            <w:r w:rsidRPr="0054405E">
              <w:rPr>
                <w:lang w:val="en-GB"/>
              </w:rPr>
              <w:t>Provide information on the new legislation to combat organized crime and gang-related violence, including information on measures adopted to prevent racial profiling and racially motivated police violence</w:t>
            </w:r>
            <w:r>
              <w:rPr>
                <w:lang w:val="en-GB"/>
              </w:rPr>
              <w:t>.</w:t>
            </w:r>
          </w:p>
        </w:tc>
        <w:tc>
          <w:tcPr>
            <w:tcW w:w="1134" w:type="dxa"/>
          </w:tcPr>
          <w:p w14:paraId="761F0871" w14:textId="62694813" w:rsidR="008C448D" w:rsidRPr="006B5570" w:rsidRDefault="008C448D" w:rsidP="00E3224A">
            <w:pPr>
              <w:rPr>
                <w:lang w:val="en-GB"/>
              </w:rPr>
            </w:pPr>
            <w:r w:rsidRPr="00734715">
              <w:rPr>
                <w:lang w:val="en-GB"/>
              </w:rPr>
              <w:t>2(2)</w:t>
            </w:r>
            <w:r>
              <w:rPr>
                <w:lang w:val="en-GB"/>
              </w:rPr>
              <w:t>.</w:t>
            </w:r>
          </w:p>
        </w:tc>
        <w:tc>
          <w:tcPr>
            <w:tcW w:w="7400" w:type="dxa"/>
          </w:tcPr>
          <w:p w14:paraId="7E52B1A5" w14:textId="1E54E05A" w:rsidR="008C448D" w:rsidRPr="006B5570" w:rsidRDefault="008C448D" w:rsidP="00E3224A">
            <w:pPr>
              <w:rPr>
                <w:lang w:val="en-GB"/>
              </w:rPr>
            </w:pPr>
          </w:p>
        </w:tc>
      </w:tr>
      <w:tr w:rsidR="008C448D" w:rsidRPr="0010551D" w14:paraId="15281EEA" w14:textId="77777777" w:rsidTr="008C448D">
        <w:tc>
          <w:tcPr>
            <w:tcW w:w="850" w:type="dxa"/>
          </w:tcPr>
          <w:p w14:paraId="6D565AD7" w14:textId="1B017D71" w:rsidR="008C448D" w:rsidRDefault="008C448D" w:rsidP="008808C6">
            <w:pPr>
              <w:rPr>
                <w:b/>
                <w:lang w:val="en-GB"/>
              </w:rPr>
            </w:pPr>
            <w:r>
              <w:rPr>
                <w:b/>
                <w:lang w:val="en-GB"/>
              </w:rPr>
              <w:lastRenderedPageBreak/>
              <w:t>21(e)</w:t>
            </w:r>
          </w:p>
        </w:tc>
        <w:tc>
          <w:tcPr>
            <w:tcW w:w="6663" w:type="dxa"/>
          </w:tcPr>
          <w:p w14:paraId="24E7DC60" w14:textId="55948D34" w:rsidR="008C448D" w:rsidRPr="0054405E" w:rsidRDefault="008C448D" w:rsidP="00E3224A">
            <w:pPr>
              <w:rPr>
                <w:lang w:val="en-GB"/>
              </w:rPr>
            </w:pPr>
            <w:r w:rsidRPr="0054405E">
              <w:rPr>
                <w:lang w:val="en-GB"/>
              </w:rPr>
              <w:t>Ensure that effective judicial remedies and accessible legal aid, in addition to administrative remedies, are available to victims of harassment, hate crimes and discrimination on the grounds of disability, race, ethnicity and religion, including Islamophobia</w:t>
            </w:r>
            <w:r>
              <w:rPr>
                <w:lang w:val="en-GB"/>
              </w:rPr>
              <w:t>.</w:t>
            </w:r>
          </w:p>
        </w:tc>
        <w:tc>
          <w:tcPr>
            <w:tcW w:w="1134" w:type="dxa"/>
          </w:tcPr>
          <w:p w14:paraId="6DFE0280" w14:textId="5ED335FE" w:rsidR="008C448D" w:rsidRPr="006B5570" w:rsidRDefault="008C448D" w:rsidP="00E3224A">
            <w:pPr>
              <w:rPr>
                <w:lang w:val="en-GB"/>
              </w:rPr>
            </w:pPr>
            <w:r w:rsidRPr="00734715">
              <w:rPr>
                <w:lang w:val="en-GB"/>
              </w:rPr>
              <w:t>2(2)</w:t>
            </w:r>
            <w:r>
              <w:rPr>
                <w:lang w:val="en-GB"/>
              </w:rPr>
              <w:t>.</w:t>
            </w:r>
          </w:p>
        </w:tc>
        <w:tc>
          <w:tcPr>
            <w:tcW w:w="7400" w:type="dxa"/>
          </w:tcPr>
          <w:p w14:paraId="1CC037C4" w14:textId="6B42CD55" w:rsidR="008C448D" w:rsidRPr="00D53AF9" w:rsidRDefault="00D53AF9" w:rsidP="00E3224A">
            <w:r w:rsidRPr="00D53AF9">
              <w:rPr>
                <w:b/>
                <w:bCs/>
              </w:rPr>
              <w:t>Viktigt</w:t>
            </w:r>
            <w:r w:rsidRPr="00D53AF9">
              <w:t xml:space="preserve"> - synergier med CRPD-rek</w:t>
            </w:r>
            <w:r w:rsidR="00507135">
              <w:t xml:space="preserve"> art 1-4, 13</w:t>
            </w:r>
          </w:p>
        </w:tc>
      </w:tr>
      <w:tr w:rsidR="008C448D" w:rsidRPr="0010551D" w14:paraId="6B161AAE" w14:textId="4BC76A84" w:rsidTr="008C448D">
        <w:tc>
          <w:tcPr>
            <w:tcW w:w="850" w:type="dxa"/>
          </w:tcPr>
          <w:p w14:paraId="16559B33" w14:textId="6DFA2DF8" w:rsidR="008C448D" w:rsidRPr="00F672A9" w:rsidRDefault="008C448D" w:rsidP="00E3224A">
            <w:pPr>
              <w:rPr>
                <w:b/>
                <w:lang w:val="en-GB"/>
              </w:rPr>
            </w:pPr>
            <w:r>
              <w:rPr>
                <w:b/>
                <w:lang w:val="en-GB"/>
              </w:rPr>
              <w:t>21(f)</w:t>
            </w:r>
          </w:p>
        </w:tc>
        <w:tc>
          <w:tcPr>
            <w:tcW w:w="6663" w:type="dxa"/>
          </w:tcPr>
          <w:p w14:paraId="6D2FA667" w14:textId="7D1CB57D" w:rsidR="008C448D" w:rsidRPr="006B5570" w:rsidRDefault="008C448D" w:rsidP="00E3224A">
            <w:pPr>
              <w:rPr>
                <w:lang w:val="en-GB"/>
              </w:rPr>
            </w:pPr>
            <w:r w:rsidRPr="00F672A9">
              <w:rPr>
                <w:lang w:val="en-GB"/>
              </w:rPr>
              <w:t xml:space="preserve">Be guided by </w:t>
            </w:r>
            <w:hyperlink r:id="rId12" w:history="1">
              <w:r w:rsidRPr="00F672A9">
                <w:rPr>
                  <w:rStyle w:val="Hyperlnk"/>
                  <w:lang w:val="en-GB"/>
                </w:rPr>
                <w:t>general comment no. 20</w:t>
              </w:r>
            </w:hyperlink>
            <w:r w:rsidRPr="00F672A9">
              <w:rPr>
                <w:lang w:val="en-GB"/>
              </w:rPr>
              <w:t xml:space="preserve"> on non-discrimination in economic, social and cultural rights.</w:t>
            </w:r>
          </w:p>
        </w:tc>
        <w:tc>
          <w:tcPr>
            <w:tcW w:w="1134" w:type="dxa"/>
          </w:tcPr>
          <w:p w14:paraId="580FA412" w14:textId="193E5455" w:rsidR="008C448D" w:rsidRPr="006B5570" w:rsidRDefault="008C448D" w:rsidP="00E3224A">
            <w:pPr>
              <w:rPr>
                <w:lang w:val="en-GB"/>
              </w:rPr>
            </w:pPr>
            <w:r w:rsidRPr="00734715">
              <w:rPr>
                <w:lang w:val="en-GB"/>
              </w:rPr>
              <w:t>2(2)</w:t>
            </w:r>
            <w:r>
              <w:rPr>
                <w:lang w:val="en-GB"/>
              </w:rPr>
              <w:t>.</w:t>
            </w:r>
          </w:p>
        </w:tc>
        <w:tc>
          <w:tcPr>
            <w:tcW w:w="7400" w:type="dxa"/>
          </w:tcPr>
          <w:p w14:paraId="3C4E35A0" w14:textId="77777777" w:rsidR="008C448D" w:rsidRPr="006B5570" w:rsidRDefault="008C448D" w:rsidP="00E3224A">
            <w:pPr>
              <w:rPr>
                <w:lang w:val="en-GB"/>
              </w:rPr>
            </w:pPr>
          </w:p>
        </w:tc>
      </w:tr>
      <w:tr w:rsidR="008C448D" w:rsidRPr="0010551D" w14:paraId="47BCD85C" w14:textId="77777777" w:rsidTr="008C448D">
        <w:tc>
          <w:tcPr>
            <w:tcW w:w="850" w:type="dxa"/>
            <w:shd w:val="clear" w:color="auto" w:fill="ACB9CA" w:themeFill="text2" w:themeFillTint="66"/>
          </w:tcPr>
          <w:p w14:paraId="2B732BC0" w14:textId="77777777" w:rsidR="008C448D" w:rsidRPr="00B85D8F" w:rsidRDefault="008C448D" w:rsidP="00E3224A">
            <w:pPr>
              <w:rPr>
                <w:b/>
              </w:rPr>
            </w:pPr>
          </w:p>
        </w:tc>
        <w:tc>
          <w:tcPr>
            <w:tcW w:w="6663" w:type="dxa"/>
            <w:shd w:val="clear" w:color="auto" w:fill="ACB9CA" w:themeFill="text2" w:themeFillTint="66"/>
          </w:tcPr>
          <w:p w14:paraId="7C622FAD" w14:textId="4F9F6068" w:rsidR="008C448D" w:rsidRPr="00B85D8F" w:rsidRDefault="008C448D" w:rsidP="00E3224A">
            <w:pPr>
              <w:rPr>
                <w:b/>
              </w:rPr>
            </w:pPr>
            <w:r w:rsidRPr="00B85D8F">
              <w:rPr>
                <w:b/>
              </w:rPr>
              <w:t>Rätten till arbete</w:t>
            </w:r>
          </w:p>
        </w:tc>
        <w:tc>
          <w:tcPr>
            <w:tcW w:w="1134" w:type="dxa"/>
            <w:shd w:val="clear" w:color="auto" w:fill="ACB9CA" w:themeFill="text2" w:themeFillTint="66"/>
          </w:tcPr>
          <w:p w14:paraId="5DCBF243" w14:textId="77777777" w:rsidR="008C448D" w:rsidRPr="00B85D8F" w:rsidRDefault="008C448D" w:rsidP="00E3224A"/>
        </w:tc>
        <w:tc>
          <w:tcPr>
            <w:tcW w:w="7400" w:type="dxa"/>
            <w:shd w:val="clear" w:color="auto" w:fill="ACB9CA" w:themeFill="text2" w:themeFillTint="66"/>
          </w:tcPr>
          <w:p w14:paraId="41572896" w14:textId="77777777" w:rsidR="008C448D" w:rsidRPr="00B85D8F" w:rsidRDefault="008C448D" w:rsidP="00E3224A"/>
        </w:tc>
      </w:tr>
      <w:tr w:rsidR="008C448D" w:rsidRPr="001B1869" w14:paraId="2299D2F2" w14:textId="77777777" w:rsidTr="008C448D">
        <w:tc>
          <w:tcPr>
            <w:tcW w:w="850" w:type="dxa"/>
          </w:tcPr>
          <w:p w14:paraId="60935F5B" w14:textId="0A11FBF4" w:rsidR="008C448D" w:rsidRPr="00725E33" w:rsidRDefault="008C448D" w:rsidP="00725E33">
            <w:pPr>
              <w:rPr>
                <w:b/>
                <w:lang w:val="en-GB"/>
              </w:rPr>
            </w:pPr>
            <w:r>
              <w:rPr>
                <w:b/>
                <w:lang w:val="en-GB"/>
              </w:rPr>
              <w:t>23(a)</w:t>
            </w:r>
          </w:p>
        </w:tc>
        <w:tc>
          <w:tcPr>
            <w:tcW w:w="6663" w:type="dxa"/>
          </w:tcPr>
          <w:p w14:paraId="10BE0F1C" w14:textId="71A558CB" w:rsidR="008C448D" w:rsidRPr="0054405E" w:rsidRDefault="008C448D" w:rsidP="00E3224A">
            <w:pPr>
              <w:rPr>
                <w:lang w:val="en-GB"/>
              </w:rPr>
            </w:pPr>
            <w:r w:rsidRPr="0054405E">
              <w:rPr>
                <w:lang w:val="en-GB"/>
              </w:rPr>
              <w:t>Strengthen vocational training and the quality and accessibility of language courses, as well as diversity recruitment or retention programmes tailored to people belonging to groups at higher risk of discrimination, such as persons of a migrant background, of African descent and those perceived to be Muslim or of Middle Eastern descent, as well as persons with disabilities, the Roma and transgender people.</w:t>
            </w:r>
          </w:p>
        </w:tc>
        <w:tc>
          <w:tcPr>
            <w:tcW w:w="1134" w:type="dxa"/>
          </w:tcPr>
          <w:p w14:paraId="665671F9" w14:textId="28A7FC7F" w:rsidR="008C448D" w:rsidRPr="006B5570" w:rsidRDefault="008C448D" w:rsidP="00E3224A">
            <w:pPr>
              <w:rPr>
                <w:lang w:val="en-GB"/>
              </w:rPr>
            </w:pPr>
            <w:r w:rsidRPr="001B1869">
              <w:rPr>
                <w:lang w:val="en-GB"/>
              </w:rPr>
              <w:t>2(2), 6, 7.</w:t>
            </w:r>
          </w:p>
        </w:tc>
        <w:tc>
          <w:tcPr>
            <w:tcW w:w="7400" w:type="dxa"/>
          </w:tcPr>
          <w:p w14:paraId="7EB28B60" w14:textId="77777777" w:rsidR="008C448D" w:rsidRPr="006B5570" w:rsidRDefault="008C448D" w:rsidP="00E3224A">
            <w:pPr>
              <w:rPr>
                <w:lang w:val="en-GB"/>
              </w:rPr>
            </w:pPr>
          </w:p>
        </w:tc>
      </w:tr>
      <w:tr w:rsidR="008C448D" w:rsidRPr="001B1869" w14:paraId="4F3DD479" w14:textId="77777777" w:rsidTr="008C448D">
        <w:tc>
          <w:tcPr>
            <w:tcW w:w="850" w:type="dxa"/>
          </w:tcPr>
          <w:p w14:paraId="3BC2370E" w14:textId="3DC44B5C" w:rsidR="008C448D" w:rsidRDefault="008C448D" w:rsidP="00725E33">
            <w:pPr>
              <w:rPr>
                <w:b/>
                <w:lang w:val="en-GB"/>
              </w:rPr>
            </w:pPr>
            <w:r>
              <w:rPr>
                <w:b/>
                <w:lang w:val="en-GB"/>
              </w:rPr>
              <w:t>23(b)</w:t>
            </w:r>
          </w:p>
        </w:tc>
        <w:tc>
          <w:tcPr>
            <w:tcW w:w="6663" w:type="dxa"/>
          </w:tcPr>
          <w:p w14:paraId="24C6DF77" w14:textId="166E4125" w:rsidR="008C448D" w:rsidRPr="0054405E" w:rsidRDefault="008C448D" w:rsidP="00E3224A">
            <w:pPr>
              <w:rPr>
                <w:lang w:val="en-GB"/>
              </w:rPr>
            </w:pPr>
            <w:r w:rsidRPr="0054405E">
              <w:rPr>
                <w:lang w:val="en-GB"/>
              </w:rPr>
              <w:t>Take targeted measures to address the discrimination such persons face in the labour market</w:t>
            </w:r>
            <w:r>
              <w:rPr>
                <w:lang w:val="en-GB"/>
              </w:rPr>
              <w:t>.</w:t>
            </w:r>
          </w:p>
        </w:tc>
        <w:tc>
          <w:tcPr>
            <w:tcW w:w="1134" w:type="dxa"/>
          </w:tcPr>
          <w:p w14:paraId="7C77A7BA" w14:textId="6319B8BE" w:rsidR="008C448D" w:rsidRPr="006B5570" w:rsidRDefault="008C448D" w:rsidP="00E3224A">
            <w:pPr>
              <w:rPr>
                <w:lang w:val="en-GB"/>
              </w:rPr>
            </w:pPr>
            <w:r>
              <w:rPr>
                <w:lang w:val="en-GB"/>
              </w:rPr>
              <w:t>2(2). 6.</w:t>
            </w:r>
            <w:r w:rsidRPr="001B1869">
              <w:rPr>
                <w:lang w:val="en-GB"/>
              </w:rPr>
              <w:t xml:space="preserve"> 7.</w:t>
            </w:r>
          </w:p>
        </w:tc>
        <w:tc>
          <w:tcPr>
            <w:tcW w:w="7400" w:type="dxa"/>
          </w:tcPr>
          <w:p w14:paraId="1D5489F9" w14:textId="501468CE" w:rsidR="008C448D" w:rsidRPr="00240426" w:rsidRDefault="00240426" w:rsidP="00E3224A">
            <w:r w:rsidRPr="00240426">
              <w:t>Synergier CRPD-rek, art. 5 oc</w:t>
            </w:r>
            <w:r>
              <w:t>h 27.</w:t>
            </w:r>
          </w:p>
        </w:tc>
      </w:tr>
      <w:tr w:rsidR="008C448D" w:rsidRPr="001B1869" w14:paraId="2F28B949" w14:textId="77777777" w:rsidTr="008C448D">
        <w:tc>
          <w:tcPr>
            <w:tcW w:w="850" w:type="dxa"/>
          </w:tcPr>
          <w:p w14:paraId="169B1573" w14:textId="2E8BCC3C" w:rsidR="008C448D" w:rsidRDefault="008C448D" w:rsidP="00725E33">
            <w:pPr>
              <w:rPr>
                <w:b/>
                <w:lang w:val="en-GB"/>
              </w:rPr>
            </w:pPr>
            <w:r>
              <w:rPr>
                <w:b/>
                <w:lang w:val="en-GB"/>
              </w:rPr>
              <w:t>23(c)</w:t>
            </w:r>
          </w:p>
        </w:tc>
        <w:tc>
          <w:tcPr>
            <w:tcW w:w="6663" w:type="dxa"/>
          </w:tcPr>
          <w:p w14:paraId="2A603A3E" w14:textId="77777777" w:rsidR="008C448D" w:rsidRPr="0054405E" w:rsidRDefault="008C448D" w:rsidP="0054405E">
            <w:pPr>
              <w:rPr>
                <w:lang w:val="en-GB"/>
              </w:rPr>
            </w:pPr>
            <w:r w:rsidRPr="0054405E">
              <w:rPr>
                <w:lang w:val="en-GB"/>
              </w:rPr>
              <w:t xml:space="preserve">Promote and protect civil society organizations and trade unions </w:t>
            </w:r>
          </w:p>
          <w:p w14:paraId="5692AC33" w14:textId="7040020D" w:rsidR="008C448D" w:rsidRPr="0010551D" w:rsidRDefault="008C448D" w:rsidP="0054405E">
            <w:pPr>
              <w:rPr>
                <w:lang w:val="en-GB"/>
              </w:rPr>
            </w:pPr>
            <w:r w:rsidRPr="0054405E">
              <w:rPr>
                <w:lang w:val="en-GB"/>
              </w:rPr>
              <w:t>addressing employment discrimination</w:t>
            </w:r>
            <w:r>
              <w:rPr>
                <w:lang w:val="en-GB"/>
              </w:rPr>
              <w:t>.</w:t>
            </w:r>
          </w:p>
        </w:tc>
        <w:tc>
          <w:tcPr>
            <w:tcW w:w="1134" w:type="dxa"/>
          </w:tcPr>
          <w:p w14:paraId="53E50F0C" w14:textId="6DF7CE86" w:rsidR="008C448D" w:rsidRPr="006B5570" w:rsidRDefault="008C448D" w:rsidP="00E3224A">
            <w:pPr>
              <w:rPr>
                <w:lang w:val="en-GB"/>
              </w:rPr>
            </w:pPr>
            <w:r>
              <w:rPr>
                <w:lang w:val="en-GB"/>
              </w:rPr>
              <w:t xml:space="preserve">2(2). 6. </w:t>
            </w:r>
            <w:r w:rsidRPr="001B1869">
              <w:rPr>
                <w:lang w:val="en-GB"/>
              </w:rPr>
              <w:t>7.</w:t>
            </w:r>
          </w:p>
        </w:tc>
        <w:tc>
          <w:tcPr>
            <w:tcW w:w="7400" w:type="dxa"/>
          </w:tcPr>
          <w:p w14:paraId="2F000767" w14:textId="77777777" w:rsidR="008C448D" w:rsidRPr="006B5570" w:rsidRDefault="008C448D" w:rsidP="00E3224A">
            <w:pPr>
              <w:rPr>
                <w:lang w:val="en-GB"/>
              </w:rPr>
            </w:pPr>
          </w:p>
        </w:tc>
      </w:tr>
      <w:tr w:rsidR="008C448D" w:rsidRPr="001B1869" w14:paraId="2DD8A8A1" w14:textId="1F6C15A4" w:rsidTr="008C448D">
        <w:tc>
          <w:tcPr>
            <w:tcW w:w="850" w:type="dxa"/>
          </w:tcPr>
          <w:p w14:paraId="4A0A84BD" w14:textId="21D40EA0" w:rsidR="008C448D" w:rsidRPr="00725E33" w:rsidRDefault="008C448D" w:rsidP="00725E33">
            <w:pPr>
              <w:rPr>
                <w:b/>
                <w:lang w:val="en-GB"/>
              </w:rPr>
            </w:pPr>
            <w:r>
              <w:rPr>
                <w:b/>
                <w:lang w:val="en-GB"/>
              </w:rPr>
              <w:t>23(d)</w:t>
            </w:r>
          </w:p>
        </w:tc>
        <w:tc>
          <w:tcPr>
            <w:tcW w:w="6663" w:type="dxa"/>
          </w:tcPr>
          <w:p w14:paraId="1093267F" w14:textId="68FFEE1D" w:rsidR="008C448D" w:rsidRPr="006B5570" w:rsidRDefault="008C448D" w:rsidP="00E3224A">
            <w:pPr>
              <w:rPr>
                <w:lang w:val="en-GB"/>
              </w:rPr>
            </w:pPr>
            <w:r w:rsidRPr="00725E33">
              <w:rPr>
                <w:lang w:val="en-GB"/>
              </w:rPr>
              <w:t xml:space="preserve">Be guided by paragraph 12 </w:t>
            </w:r>
            <w:hyperlink r:id="rId13" w:history="1">
              <w:r w:rsidRPr="00725E33">
                <w:rPr>
                  <w:rStyle w:val="Hyperlnk"/>
                  <w:lang w:val="en-GB"/>
                </w:rPr>
                <w:t>of general comment No. 18 (2005)</w:t>
              </w:r>
            </w:hyperlink>
            <w:r w:rsidRPr="00725E33">
              <w:rPr>
                <w:lang w:val="en-GB"/>
              </w:rPr>
              <w:t xml:space="preserve"> on the right to work.</w:t>
            </w:r>
          </w:p>
        </w:tc>
        <w:tc>
          <w:tcPr>
            <w:tcW w:w="1134" w:type="dxa"/>
          </w:tcPr>
          <w:p w14:paraId="783895D3" w14:textId="43418E44" w:rsidR="008C448D" w:rsidRPr="006B5570" w:rsidRDefault="008C448D" w:rsidP="00E3224A">
            <w:pPr>
              <w:rPr>
                <w:lang w:val="en-GB"/>
              </w:rPr>
            </w:pPr>
            <w:r>
              <w:rPr>
                <w:lang w:val="en-GB"/>
              </w:rPr>
              <w:t xml:space="preserve">2(2). 6. </w:t>
            </w:r>
            <w:r w:rsidRPr="001B1869">
              <w:rPr>
                <w:lang w:val="en-GB"/>
              </w:rPr>
              <w:t>7.</w:t>
            </w:r>
          </w:p>
        </w:tc>
        <w:tc>
          <w:tcPr>
            <w:tcW w:w="7400" w:type="dxa"/>
          </w:tcPr>
          <w:p w14:paraId="1086F83E" w14:textId="77777777" w:rsidR="008C448D" w:rsidRPr="006B5570" w:rsidRDefault="008C448D" w:rsidP="00E3224A">
            <w:pPr>
              <w:rPr>
                <w:lang w:val="en-GB"/>
              </w:rPr>
            </w:pPr>
          </w:p>
        </w:tc>
      </w:tr>
      <w:tr w:rsidR="008C448D" w:rsidRPr="00B85D8F" w14:paraId="4B5E76A1" w14:textId="77777777" w:rsidTr="008C448D">
        <w:tc>
          <w:tcPr>
            <w:tcW w:w="850" w:type="dxa"/>
            <w:shd w:val="clear" w:color="auto" w:fill="ACB9CA" w:themeFill="text2" w:themeFillTint="66"/>
          </w:tcPr>
          <w:p w14:paraId="135A5D30" w14:textId="77777777" w:rsidR="008C448D" w:rsidRPr="000B1492" w:rsidRDefault="008C448D" w:rsidP="00725E33">
            <w:pPr>
              <w:rPr>
                <w:b/>
              </w:rPr>
            </w:pPr>
          </w:p>
        </w:tc>
        <w:tc>
          <w:tcPr>
            <w:tcW w:w="6663" w:type="dxa"/>
            <w:shd w:val="clear" w:color="auto" w:fill="ACB9CA" w:themeFill="text2" w:themeFillTint="66"/>
          </w:tcPr>
          <w:p w14:paraId="0CB5C2BF" w14:textId="6600EDC2" w:rsidR="008C448D" w:rsidRPr="000B1492" w:rsidRDefault="008C448D" w:rsidP="00B85D8F">
            <w:pPr>
              <w:rPr>
                <w:b/>
              </w:rPr>
            </w:pPr>
            <w:r w:rsidRPr="000B1492">
              <w:rPr>
                <w:b/>
              </w:rPr>
              <w:t>Rätten att åtnjuta rättvisa och gynnsamma arbetsvillkor</w:t>
            </w:r>
          </w:p>
        </w:tc>
        <w:tc>
          <w:tcPr>
            <w:tcW w:w="1134" w:type="dxa"/>
            <w:shd w:val="clear" w:color="auto" w:fill="ACB9CA" w:themeFill="text2" w:themeFillTint="66"/>
          </w:tcPr>
          <w:p w14:paraId="33FCD7BA" w14:textId="77777777" w:rsidR="008C448D" w:rsidRPr="000B1492" w:rsidRDefault="008C448D" w:rsidP="00E3224A"/>
        </w:tc>
        <w:tc>
          <w:tcPr>
            <w:tcW w:w="7400" w:type="dxa"/>
            <w:shd w:val="clear" w:color="auto" w:fill="ACB9CA" w:themeFill="text2" w:themeFillTint="66"/>
          </w:tcPr>
          <w:p w14:paraId="6E8A5151" w14:textId="77777777" w:rsidR="008C448D" w:rsidRPr="000B1492" w:rsidRDefault="008C448D" w:rsidP="00E3224A"/>
        </w:tc>
      </w:tr>
      <w:tr w:rsidR="008C448D" w:rsidRPr="001B1869" w14:paraId="4306ED97" w14:textId="77777777" w:rsidTr="008C448D">
        <w:tc>
          <w:tcPr>
            <w:tcW w:w="850" w:type="dxa"/>
          </w:tcPr>
          <w:p w14:paraId="2CB73CF6" w14:textId="7DB9A5E9" w:rsidR="008C448D" w:rsidRPr="00725E33" w:rsidRDefault="008C448D" w:rsidP="00725E33">
            <w:pPr>
              <w:rPr>
                <w:b/>
                <w:lang w:val="en-GB"/>
              </w:rPr>
            </w:pPr>
            <w:r>
              <w:rPr>
                <w:b/>
                <w:lang w:val="en-GB"/>
              </w:rPr>
              <w:t>25(a)</w:t>
            </w:r>
          </w:p>
        </w:tc>
        <w:tc>
          <w:tcPr>
            <w:tcW w:w="6663" w:type="dxa"/>
          </w:tcPr>
          <w:p w14:paraId="0CAA7ECA" w14:textId="1E94445B" w:rsidR="008C448D" w:rsidRPr="00725E33" w:rsidRDefault="008C448D" w:rsidP="00CF6FC6">
            <w:pPr>
              <w:rPr>
                <w:lang w:val="en-GB"/>
              </w:rPr>
            </w:pPr>
            <w:r w:rsidRPr="00CF6FC6">
              <w:rPr>
                <w:lang w:val="en-GB"/>
              </w:rPr>
              <w:t>Strengthen measures to ensure job security and adequate protection with respect to working conditions for all workers, including platform workers</w:t>
            </w:r>
            <w:r>
              <w:rPr>
                <w:lang w:val="en-GB"/>
              </w:rPr>
              <w:t>.</w:t>
            </w:r>
          </w:p>
        </w:tc>
        <w:tc>
          <w:tcPr>
            <w:tcW w:w="1134" w:type="dxa"/>
          </w:tcPr>
          <w:p w14:paraId="03CEC18F" w14:textId="36A6FFD7" w:rsidR="008C448D" w:rsidRPr="006B5570" w:rsidRDefault="008C448D" w:rsidP="00E3224A">
            <w:pPr>
              <w:rPr>
                <w:lang w:val="en-GB"/>
              </w:rPr>
            </w:pPr>
            <w:r w:rsidRPr="00F3212F">
              <w:rPr>
                <w:lang w:val="en-GB"/>
              </w:rPr>
              <w:t>2(2), 6, 7.</w:t>
            </w:r>
          </w:p>
        </w:tc>
        <w:tc>
          <w:tcPr>
            <w:tcW w:w="7400" w:type="dxa"/>
          </w:tcPr>
          <w:p w14:paraId="04621D33" w14:textId="77777777" w:rsidR="008C448D" w:rsidRPr="006B5570" w:rsidRDefault="008C448D" w:rsidP="00E3224A">
            <w:pPr>
              <w:rPr>
                <w:lang w:val="en-GB"/>
              </w:rPr>
            </w:pPr>
          </w:p>
        </w:tc>
      </w:tr>
      <w:tr w:rsidR="008C448D" w:rsidRPr="00994685" w14:paraId="4F718526" w14:textId="77777777" w:rsidTr="008C448D">
        <w:tc>
          <w:tcPr>
            <w:tcW w:w="850" w:type="dxa"/>
          </w:tcPr>
          <w:p w14:paraId="26C6DDED" w14:textId="764CE360" w:rsidR="008C448D" w:rsidRDefault="008C448D" w:rsidP="00725E33">
            <w:pPr>
              <w:rPr>
                <w:b/>
                <w:lang w:val="en-GB"/>
              </w:rPr>
            </w:pPr>
            <w:r>
              <w:rPr>
                <w:b/>
                <w:lang w:val="en-GB"/>
              </w:rPr>
              <w:t>25(b)</w:t>
            </w:r>
          </w:p>
        </w:tc>
        <w:tc>
          <w:tcPr>
            <w:tcW w:w="6663" w:type="dxa"/>
          </w:tcPr>
          <w:p w14:paraId="363C8957" w14:textId="1AFB3C39" w:rsidR="008C448D" w:rsidRPr="00CF6FC6" w:rsidRDefault="008C448D" w:rsidP="00E3224A">
            <w:pPr>
              <w:rPr>
                <w:lang w:val="en-GB"/>
              </w:rPr>
            </w:pPr>
            <w:r w:rsidRPr="00CF6FC6">
              <w:rPr>
                <w:lang w:val="en-GB"/>
              </w:rPr>
              <w:t>Take appropriate legislative and administrative measures to combat all forms of labour exploitation affecting, in particular, migrant workers and asylum</w:t>
            </w:r>
            <w:r>
              <w:rPr>
                <w:lang w:val="en-GB"/>
              </w:rPr>
              <w:t>-</w:t>
            </w:r>
            <w:r w:rsidRPr="00CF6FC6">
              <w:rPr>
                <w:lang w:val="en-GB"/>
              </w:rPr>
              <w:t>seekers and extend effective protection against violence and harassment to migrant workers and their families, including those working in the informal economy</w:t>
            </w:r>
            <w:r>
              <w:rPr>
                <w:lang w:val="en-GB"/>
              </w:rPr>
              <w:t>.</w:t>
            </w:r>
          </w:p>
        </w:tc>
        <w:tc>
          <w:tcPr>
            <w:tcW w:w="1134" w:type="dxa"/>
          </w:tcPr>
          <w:p w14:paraId="4B6DA9F1" w14:textId="6BABF8B6" w:rsidR="008C448D" w:rsidRPr="006B5570" w:rsidRDefault="008C448D" w:rsidP="00E3224A">
            <w:pPr>
              <w:rPr>
                <w:lang w:val="en-GB"/>
              </w:rPr>
            </w:pPr>
            <w:r>
              <w:rPr>
                <w:lang w:val="en-GB"/>
              </w:rPr>
              <w:t>2(2). 6.</w:t>
            </w:r>
            <w:r w:rsidRPr="00F3212F">
              <w:rPr>
                <w:lang w:val="en-GB"/>
              </w:rPr>
              <w:t xml:space="preserve"> 7.</w:t>
            </w:r>
          </w:p>
        </w:tc>
        <w:tc>
          <w:tcPr>
            <w:tcW w:w="7400" w:type="dxa"/>
          </w:tcPr>
          <w:p w14:paraId="46C80E31" w14:textId="77777777" w:rsidR="00994685" w:rsidRDefault="00994685" w:rsidP="00994685">
            <w:pPr>
              <w:rPr>
                <w:i/>
                <w:iCs/>
              </w:rPr>
            </w:pPr>
            <w:r w:rsidRPr="004872A1">
              <w:rPr>
                <w:i/>
                <w:iCs/>
              </w:rPr>
              <w:t xml:space="preserve">OBS: denna rekommendation är prioriterad att genomföras närmaste två åren för återrapportering 31 mars 2026. </w:t>
            </w:r>
          </w:p>
          <w:p w14:paraId="2907864B" w14:textId="77777777" w:rsidR="008C448D" w:rsidRDefault="008C448D" w:rsidP="00E3224A"/>
          <w:p w14:paraId="6AD6D9E1" w14:textId="4C0A91A2" w:rsidR="00994685" w:rsidRPr="00994685" w:rsidRDefault="00994685" w:rsidP="00E3224A">
            <w:r w:rsidRPr="00994685">
              <w:t>Denna rekommendation hänger ihop med re</w:t>
            </w:r>
            <w:r>
              <w:t>k</w:t>
            </w:r>
            <w:r w:rsidRPr="00994685">
              <w:t xml:space="preserve">ommendation 42 om att ratificera konventionen om migrantarbetares rättigheter. </w:t>
            </w:r>
          </w:p>
        </w:tc>
      </w:tr>
      <w:tr w:rsidR="008C448D" w:rsidRPr="001B1869" w14:paraId="4B55325D" w14:textId="77777777" w:rsidTr="008C448D">
        <w:tc>
          <w:tcPr>
            <w:tcW w:w="850" w:type="dxa"/>
          </w:tcPr>
          <w:p w14:paraId="2432F94F" w14:textId="0687B027" w:rsidR="008C448D" w:rsidRDefault="008C448D" w:rsidP="00725E33">
            <w:pPr>
              <w:rPr>
                <w:b/>
                <w:lang w:val="en-GB"/>
              </w:rPr>
            </w:pPr>
            <w:r>
              <w:rPr>
                <w:b/>
                <w:lang w:val="en-GB"/>
              </w:rPr>
              <w:t>25(c)</w:t>
            </w:r>
          </w:p>
        </w:tc>
        <w:tc>
          <w:tcPr>
            <w:tcW w:w="6663" w:type="dxa"/>
          </w:tcPr>
          <w:p w14:paraId="5293168D" w14:textId="5A3420CA" w:rsidR="008C448D" w:rsidRPr="00CF6FC6" w:rsidRDefault="008C448D" w:rsidP="00E3224A">
            <w:pPr>
              <w:rPr>
                <w:lang w:val="en-GB"/>
              </w:rPr>
            </w:pPr>
            <w:r w:rsidRPr="00CF6FC6">
              <w:rPr>
                <w:lang w:val="en-GB"/>
              </w:rPr>
              <w:t>Take concrete measures to monitor working conditions in sectors with an increased risk of labour exploitation and to provide effective remedial mechanisms for complaints</w:t>
            </w:r>
            <w:r>
              <w:rPr>
                <w:lang w:val="en-GB"/>
              </w:rPr>
              <w:t>.</w:t>
            </w:r>
          </w:p>
        </w:tc>
        <w:tc>
          <w:tcPr>
            <w:tcW w:w="1134" w:type="dxa"/>
          </w:tcPr>
          <w:p w14:paraId="6FD50AAB" w14:textId="0B000D37" w:rsidR="008C448D" w:rsidRPr="006B5570" w:rsidRDefault="008C448D" w:rsidP="00E3224A">
            <w:pPr>
              <w:rPr>
                <w:lang w:val="en-GB"/>
              </w:rPr>
            </w:pPr>
            <w:r>
              <w:rPr>
                <w:lang w:val="en-GB"/>
              </w:rPr>
              <w:t xml:space="preserve">2(2). 6. </w:t>
            </w:r>
            <w:r w:rsidRPr="00F3212F">
              <w:rPr>
                <w:lang w:val="en-GB"/>
              </w:rPr>
              <w:t>7.</w:t>
            </w:r>
          </w:p>
        </w:tc>
        <w:tc>
          <w:tcPr>
            <w:tcW w:w="7400" w:type="dxa"/>
          </w:tcPr>
          <w:p w14:paraId="772B186E" w14:textId="77777777" w:rsidR="008C448D" w:rsidRPr="006B5570" w:rsidRDefault="008C448D" w:rsidP="00E3224A">
            <w:pPr>
              <w:rPr>
                <w:lang w:val="en-GB"/>
              </w:rPr>
            </w:pPr>
          </w:p>
        </w:tc>
      </w:tr>
      <w:tr w:rsidR="008C448D" w:rsidRPr="001B1869" w14:paraId="0EDF7740" w14:textId="24EE16D3" w:rsidTr="008C448D">
        <w:tc>
          <w:tcPr>
            <w:tcW w:w="850" w:type="dxa"/>
          </w:tcPr>
          <w:p w14:paraId="456F4BF0" w14:textId="50282D2A" w:rsidR="008C448D" w:rsidRPr="00725E33" w:rsidRDefault="008C448D" w:rsidP="00552767">
            <w:pPr>
              <w:rPr>
                <w:b/>
                <w:lang w:val="en-GB"/>
              </w:rPr>
            </w:pPr>
            <w:r>
              <w:rPr>
                <w:b/>
                <w:lang w:val="en-GB"/>
              </w:rPr>
              <w:lastRenderedPageBreak/>
              <w:t>25(d)</w:t>
            </w:r>
          </w:p>
        </w:tc>
        <w:tc>
          <w:tcPr>
            <w:tcW w:w="6663" w:type="dxa"/>
          </w:tcPr>
          <w:p w14:paraId="59C11439" w14:textId="72FCE3B8" w:rsidR="008C448D" w:rsidRPr="00552767" w:rsidRDefault="008C448D" w:rsidP="00E3224A">
            <w:pPr>
              <w:rPr>
                <w:lang w:val="en-GB"/>
              </w:rPr>
            </w:pPr>
            <w:r w:rsidRPr="00552767">
              <w:rPr>
                <w:lang w:val="en-GB"/>
              </w:rPr>
              <w:t xml:space="preserve">Be guided by </w:t>
            </w:r>
            <w:hyperlink r:id="rId14" w:history="1">
              <w:r w:rsidRPr="00552767">
                <w:rPr>
                  <w:rStyle w:val="Hyperlnk"/>
                  <w:lang w:val="en-GB"/>
                </w:rPr>
                <w:t>general comment No. 23 (2016)</w:t>
              </w:r>
            </w:hyperlink>
            <w:r w:rsidRPr="00552767">
              <w:rPr>
                <w:lang w:val="en-GB"/>
              </w:rPr>
              <w:t xml:space="preserve"> on the right to just and favourable conditions of work.</w:t>
            </w:r>
          </w:p>
        </w:tc>
        <w:tc>
          <w:tcPr>
            <w:tcW w:w="1134" w:type="dxa"/>
          </w:tcPr>
          <w:p w14:paraId="5F31A6F9" w14:textId="740DB5A3" w:rsidR="008C448D" w:rsidRPr="006B5570" w:rsidRDefault="008C448D" w:rsidP="00E3224A">
            <w:pPr>
              <w:rPr>
                <w:lang w:val="en-GB"/>
              </w:rPr>
            </w:pPr>
            <w:r>
              <w:rPr>
                <w:lang w:val="en-GB"/>
              </w:rPr>
              <w:t>7.</w:t>
            </w:r>
          </w:p>
        </w:tc>
        <w:tc>
          <w:tcPr>
            <w:tcW w:w="7400" w:type="dxa"/>
          </w:tcPr>
          <w:p w14:paraId="5CEE6E3F" w14:textId="77777777" w:rsidR="008C448D" w:rsidRPr="006B5570" w:rsidRDefault="008C448D" w:rsidP="00E3224A">
            <w:pPr>
              <w:rPr>
                <w:lang w:val="en-GB"/>
              </w:rPr>
            </w:pPr>
          </w:p>
        </w:tc>
      </w:tr>
      <w:tr w:rsidR="008C448D" w:rsidRPr="0065225D" w14:paraId="6892D8CB" w14:textId="77777777" w:rsidTr="008C448D">
        <w:tc>
          <w:tcPr>
            <w:tcW w:w="850" w:type="dxa"/>
            <w:shd w:val="clear" w:color="auto" w:fill="ACB9CA" w:themeFill="text2" w:themeFillTint="66"/>
          </w:tcPr>
          <w:p w14:paraId="319DA6A9" w14:textId="77777777" w:rsidR="008C448D" w:rsidRPr="0065225D" w:rsidRDefault="008C448D" w:rsidP="00552767">
            <w:pPr>
              <w:rPr>
                <w:b/>
                <w:lang w:val="en-GB"/>
              </w:rPr>
            </w:pPr>
          </w:p>
        </w:tc>
        <w:tc>
          <w:tcPr>
            <w:tcW w:w="6663" w:type="dxa"/>
            <w:shd w:val="clear" w:color="auto" w:fill="ACB9CA" w:themeFill="text2" w:themeFillTint="66"/>
          </w:tcPr>
          <w:p w14:paraId="080F7B2A" w14:textId="30956E05" w:rsidR="008C448D" w:rsidRPr="0065225D" w:rsidRDefault="008C448D" w:rsidP="0065225D">
            <w:pPr>
              <w:rPr>
                <w:b/>
              </w:rPr>
            </w:pPr>
            <w:r w:rsidRPr="0065225D">
              <w:rPr>
                <w:b/>
              </w:rPr>
              <w:t>Rätten till social trygghet</w:t>
            </w:r>
          </w:p>
        </w:tc>
        <w:tc>
          <w:tcPr>
            <w:tcW w:w="1134" w:type="dxa"/>
            <w:shd w:val="clear" w:color="auto" w:fill="ACB9CA" w:themeFill="text2" w:themeFillTint="66"/>
          </w:tcPr>
          <w:p w14:paraId="54F49E99" w14:textId="77777777" w:rsidR="008C448D" w:rsidRPr="0065225D" w:rsidRDefault="008C448D" w:rsidP="00E3224A">
            <w:pPr>
              <w:rPr>
                <w:b/>
              </w:rPr>
            </w:pPr>
          </w:p>
        </w:tc>
        <w:tc>
          <w:tcPr>
            <w:tcW w:w="7400" w:type="dxa"/>
            <w:shd w:val="clear" w:color="auto" w:fill="ACB9CA" w:themeFill="text2" w:themeFillTint="66"/>
          </w:tcPr>
          <w:p w14:paraId="0E6C3751" w14:textId="77777777" w:rsidR="008C448D" w:rsidRPr="0065225D" w:rsidRDefault="008C448D" w:rsidP="00E3224A">
            <w:pPr>
              <w:rPr>
                <w:b/>
              </w:rPr>
            </w:pPr>
          </w:p>
        </w:tc>
      </w:tr>
      <w:tr w:rsidR="008C448D" w:rsidRPr="001B1869" w14:paraId="5C66D9AE" w14:textId="77777777" w:rsidTr="008C448D">
        <w:tc>
          <w:tcPr>
            <w:tcW w:w="850" w:type="dxa"/>
          </w:tcPr>
          <w:p w14:paraId="31404069" w14:textId="733922E8" w:rsidR="008C448D" w:rsidRDefault="008C448D" w:rsidP="00552767">
            <w:pPr>
              <w:rPr>
                <w:b/>
                <w:lang w:val="en-GB"/>
              </w:rPr>
            </w:pPr>
            <w:r>
              <w:rPr>
                <w:b/>
                <w:lang w:val="en-GB"/>
              </w:rPr>
              <w:t>27(a)</w:t>
            </w:r>
          </w:p>
        </w:tc>
        <w:tc>
          <w:tcPr>
            <w:tcW w:w="6663" w:type="dxa"/>
          </w:tcPr>
          <w:p w14:paraId="08F3CCC5" w14:textId="5400887F" w:rsidR="008C448D" w:rsidRPr="00552767" w:rsidRDefault="008C448D" w:rsidP="0097055E">
            <w:pPr>
              <w:rPr>
                <w:lang w:val="en-GB"/>
              </w:rPr>
            </w:pPr>
            <w:r w:rsidRPr="0097055E">
              <w:rPr>
                <w:lang w:val="en-GB"/>
              </w:rPr>
              <w:t>Adopt effective measures to reduce in-work poverty and address the high number of unemployed people at risk of poverty, including by promoting access to decent work and increasing the level of the basic unemployment benefit</w:t>
            </w:r>
            <w:r>
              <w:rPr>
                <w:lang w:val="en-GB"/>
              </w:rPr>
              <w:t>.</w:t>
            </w:r>
          </w:p>
        </w:tc>
        <w:tc>
          <w:tcPr>
            <w:tcW w:w="1134" w:type="dxa"/>
          </w:tcPr>
          <w:p w14:paraId="0C036621" w14:textId="1F236044" w:rsidR="008C448D" w:rsidRPr="006B5570" w:rsidRDefault="008C448D" w:rsidP="00E3224A">
            <w:pPr>
              <w:rPr>
                <w:lang w:val="en-GB"/>
              </w:rPr>
            </w:pPr>
            <w:r>
              <w:rPr>
                <w:lang w:val="en-GB"/>
              </w:rPr>
              <w:t>6. 9.</w:t>
            </w:r>
            <w:r w:rsidRPr="009A2E4C">
              <w:rPr>
                <w:lang w:val="en-GB"/>
              </w:rPr>
              <w:t xml:space="preserve"> 11.</w:t>
            </w:r>
          </w:p>
        </w:tc>
        <w:tc>
          <w:tcPr>
            <w:tcW w:w="7400" w:type="dxa"/>
          </w:tcPr>
          <w:p w14:paraId="38B6EB1F" w14:textId="51B2B9F7" w:rsidR="008C448D" w:rsidRPr="006C34B1" w:rsidRDefault="006C34B1" w:rsidP="00E3224A">
            <w:r w:rsidRPr="006C34B1">
              <w:t>Synergier CRPD-rek art 1-4 samt 2</w:t>
            </w:r>
            <w:r>
              <w:t>8</w:t>
            </w:r>
          </w:p>
        </w:tc>
      </w:tr>
      <w:tr w:rsidR="008C448D" w:rsidRPr="001B1869" w14:paraId="1AEA95B0" w14:textId="77777777" w:rsidTr="008C448D">
        <w:tc>
          <w:tcPr>
            <w:tcW w:w="850" w:type="dxa"/>
          </w:tcPr>
          <w:p w14:paraId="15F5CB27" w14:textId="1705C71B" w:rsidR="008C448D" w:rsidRDefault="008C448D" w:rsidP="00384174">
            <w:pPr>
              <w:rPr>
                <w:b/>
                <w:lang w:val="en-GB"/>
              </w:rPr>
            </w:pPr>
            <w:r>
              <w:rPr>
                <w:b/>
                <w:lang w:val="en-GB"/>
              </w:rPr>
              <w:t>27(b)</w:t>
            </w:r>
          </w:p>
        </w:tc>
        <w:tc>
          <w:tcPr>
            <w:tcW w:w="6663" w:type="dxa"/>
          </w:tcPr>
          <w:p w14:paraId="117F51EA" w14:textId="60D926AC" w:rsidR="008C448D" w:rsidRPr="0097055E" w:rsidRDefault="008C448D" w:rsidP="00E3224A">
            <w:pPr>
              <w:rPr>
                <w:lang w:val="en-GB"/>
              </w:rPr>
            </w:pPr>
            <w:r w:rsidRPr="0097055E">
              <w:rPr>
                <w:lang w:val="en-GB"/>
              </w:rPr>
              <w:t>Review and remove any existing barriers to the take-up of social security benefits or assistance</w:t>
            </w:r>
            <w:r>
              <w:rPr>
                <w:lang w:val="en-GB"/>
              </w:rPr>
              <w:t>.</w:t>
            </w:r>
          </w:p>
        </w:tc>
        <w:tc>
          <w:tcPr>
            <w:tcW w:w="1134" w:type="dxa"/>
          </w:tcPr>
          <w:p w14:paraId="5C764111" w14:textId="14193D0A" w:rsidR="008C448D" w:rsidRPr="006B5570" w:rsidRDefault="008C448D" w:rsidP="00E3224A">
            <w:pPr>
              <w:rPr>
                <w:lang w:val="en-GB"/>
              </w:rPr>
            </w:pPr>
            <w:r w:rsidRPr="009A2E4C">
              <w:rPr>
                <w:lang w:val="en-GB"/>
              </w:rPr>
              <w:t>9</w:t>
            </w:r>
            <w:r>
              <w:rPr>
                <w:lang w:val="en-GB"/>
              </w:rPr>
              <w:t>.</w:t>
            </w:r>
          </w:p>
        </w:tc>
        <w:tc>
          <w:tcPr>
            <w:tcW w:w="7400" w:type="dxa"/>
          </w:tcPr>
          <w:p w14:paraId="425A3D33" w14:textId="5DB41CD5" w:rsidR="008C448D" w:rsidRPr="006C34B1" w:rsidRDefault="006C34B1" w:rsidP="00E3224A">
            <w:r w:rsidRPr="006C34B1">
              <w:t>Synergier CRPD-rek art. 19 oc</w:t>
            </w:r>
            <w:r>
              <w:t>h 28</w:t>
            </w:r>
          </w:p>
        </w:tc>
      </w:tr>
      <w:tr w:rsidR="008C448D" w:rsidRPr="001B1869" w14:paraId="1D88AF9E" w14:textId="77777777" w:rsidTr="008C448D">
        <w:tc>
          <w:tcPr>
            <w:tcW w:w="850" w:type="dxa"/>
          </w:tcPr>
          <w:p w14:paraId="25221B37" w14:textId="3F8AC6B5" w:rsidR="008C448D" w:rsidRDefault="008C448D" w:rsidP="00384174">
            <w:pPr>
              <w:rPr>
                <w:b/>
                <w:lang w:val="en-GB"/>
              </w:rPr>
            </w:pPr>
            <w:r>
              <w:rPr>
                <w:b/>
                <w:lang w:val="en-GB"/>
              </w:rPr>
              <w:t>27(c)</w:t>
            </w:r>
          </w:p>
        </w:tc>
        <w:tc>
          <w:tcPr>
            <w:tcW w:w="6663" w:type="dxa"/>
          </w:tcPr>
          <w:p w14:paraId="287AD1D7" w14:textId="42E785DA" w:rsidR="008C448D" w:rsidRPr="0097055E" w:rsidRDefault="008C448D" w:rsidP="00E3224A">
            <w:pPr>
              <w:rPr>
                <w:lang w:val="en-GB"/>
              </w:rPr>
            </w:pPr>
            <w:r w:rsidRPr="0097055E">
              <w:rPr>
                <w:lang w:val="en-GB"/>
              </w:rPr>
              <w:t>Ensure that social security benefits, including the basic unemployment benefit and the daily allowance for asylum-seekers, are indexed to the cost of living so that they are set at levels that ensure an adequate standard of living for beneficiaries.</w:t>
            </w:r>
          </w:p>
        </w:tc>
        <w:tc>
          <w:tcPr>
            <w:tcW w:w="1134" w:type="dxa"/>
          </w:tcPr>
          <w:p w14:paraId="0AD0FC2D" w14:textId="6835B9E8" w:rsidR="008C448D" w:rsidRPr="006B5570" w:rsidRDefault="008C448D" w:rsidP="00E3224A">
            <w:pPr>
              <w:rPr>
                <w:lang w:val="en-GB"/>
              </w:rPr>
            </w:pPr>
            <w:r>
              <w:rPr>
                <w:lang w:val="en-GB"/>
              </w:rPr>
              <w:t>6. 9.</w:t>
            </w:r>
            <w:r w:rsidRPr="009A2E4C">
              <w:rPr>
                <w:lang w:val="en-GB"/>
              </w:rPr>
              <w:t xml:space="preserve"> 11.</w:t>
            </w:r>
          </w:p>
        </w:tc>
        <w:tc>
          <w:tcPr>
            <w:tcW w:w="7400" w:type="dxa"/>
          </w:tcPr>
          <w:p w14:paraId="33EDD9C4" w14:textId="77777777" w:rsidR="00994685" w:rsidRDefault="00994685" w:rsidP="00994685">
            <w:pPr>
              <w:rPr>
                <w:i/>
                <w:iCs/>
              </w:rPr>
            </w:pPr>
            <w:r w:rsidRPr="004872A1">
              <w:rPr>
                <w:i/>
                <w:iCs/>
              </w:rPr>
              <w:t xml:space="preserve">OBS: denna rekommendation är prioriterad att genomföras närmaste två åren för återrapportering 31 mars 2026. </w:t>
            </w:r>
          </w:p>
          <w:p w14:paraId="52DDAED3" w14:textId="1F2AFF0C" w:rsidR="008C448D" w:rsidRPr="00994685" w:rsidRDefault="009450EE" w:rsidP="00E3224A">
            <w:r>
              <w:t xml:space="preserve">Synergier CRPD-rek 19 </w:t>
            </w:r>
            <w:r w:rsidR="00105B1A">
              <w:t>med flera</w:t>
            </w:r>
          </w:p>
        </w:tc>
      </w:tr>
      <w:tr w:rsidR="008C448D" w:rsidRPr="0065225D" w14:paraId="1399910D" w14:textId="77777777" w:rsidTr="008C448D">
        <w:tc>
          <w:tcPr>
            <w:tcW w:w="850" w:type="dxa"/>
            <w:shd w:val="clear" w:color="auto" w:fill="ACB9CA" w:themeFill="text2" w:themeFillTint="66"/>
          </w:tcPr>
          <w:p w14:paraId="74FD6494" w14:textId="77777777" w:rsidR="008C448D" w:rsidRPr="00994685" w:rsidRDefault="008C448D" w:rsidP="00384174">
            <w:pPr>
              <w:rPr>
                <w:b/>
              </w:rPr>
            </w:pPr>
          </w:p>
        </w:tc>
        <w:tc>
          <w:tcPr>
            <w:tcW w:w="6663" w:type="dxa"/>
            <w:shd w:val="clear" w:color="auto" w:fill="ACB9CA" w:themeFill="text2" w:themeFillTint="66"/>
          </w:tcPr>
          <w:p w14:paraId="38087049" w14:textId="4A30DF9D" w:rsidR="008C448D" w:rsidRPr="0065225D" w:rsidRDefault="008C448D" w:rsidP="0065225D">
            <w:pPr>
              <w:rPr>
                <w:b/>
              </w:rPr>
            </w:pPr>
            <w:r w:rsidRPr="0065225D">
              <w:rPr>
                <w:b/>
              </w:rPr>
              <w:t>Rätten till en tillfredsställande levnadsstandard</w:t>
            </w:r>
          </w:p>
        </w:tc>
        <w:tc>
          <w:tcPr>
            <w:tcW w:w="1134" w:type="dxa"/>
            <w:shd w:val="clear" w:color="auto" w:fill="ACB9CA" w:themeFill="text2" w:themeFillTint="66"/>
          </w:tcPr>
          <w:p w14:paraId="36C8775D" w14:textId="77777777" w:rsidR="008C448D" w:rsidRPr="0065225D" w:rsidRDefault="008C448D" w:rsidP="00E3224A">
            <w:pPr>
              <w:rPr>
                <w:b/>
              </w:rPr>
            </w:pPr>
          </w:p>
        </w:tc>
        <w:tc>
          <w:tcPr>
            <w:tcW w:w="7400" w:type="dxa"/>
            <w:shd w:val="clear" w:color="auto" w:fill="ACB9CA" w:themeFill="text2" w:themeFillTint="66"/>
          </w:tcPr>
          <w:p w14:paraId="2D96F74A" w14:textId="77777777" w:rsidR="008C448D" w:rsidRPr="0065225D" w:rsidRDefault="008C448D" w:rsidP="00E3224A">
            <w:pPr>
              <w:rPr>
                <w:b/>
              </w:rPr>
            </w:pPr>
          </w:p>
        </w:tc>
      </w:tr>
      <w:tr w:rsidR="008C448D" w:rsidRPr="001B1869" w14:paraId="10BA6B5D" w14:textId="77777777" w:rsidTr="008C448D">
        <w:tc>
          <w:tcPr>
            <w:tcW w:w="850" w:type="dxa"/>
          </w:tcPr>
          <w:p w14:paraId="7AD2FCD8" w14:textId="76DCE541" w:rsidR="008C448D" w:rsidRDefault="008C448D" w:rsidP="00384174">
            <w:pPr>
              <w:rPr>
                <w:b/>
                <w:lang w:val="en-GB"/>
              </w:rPr>
            </w:pPr>
            <w:r>
              <w:rPr>
                <w:b/>
                <w:lang w:val="en-GB"/>
              </w:rPr>
              <w:t>29(a)</w:t>
            </w:r>
          </w:p>
        </w:tc>
        <w:tc>
          <w:tcPr>
            <w:tcW w:w="6663" w:type="dxa"/>
          </w:tcPr>
          <w:p w14:paraId="0B3AEFB2" w14:textId="53D9C9D3" w:rsidR="008C448D" w:rsidRPr="0097055E" w:rsidRDefault="008C448D" w:rsidP="00E3224A">
            <w:pPr>
              <w:rPr>
                <w:lang w:val="en-GB"/>
              </w:rPr>
            </w:pPr>
            <w:r w:rsidRPr="0097055E">
              <w:rPr>
                <w:lang w:val="en-GB"/>
              </w:rPr>
              <w:t>Adopt an official measurement of poverty that incorporates multidimensional aspects of poverty, not only the lack of income but also the lack of access to the goods or services essential for an adequate standard of living, such as housing, education, food, health care, work and social protection, in order to address and alleviate poverty among all groups in society.</w:t>
            </w:r>
          </w:p>
        </w:tc>
        <w:tc>
          <w:tcPr>
            <w:tcW w:w="1134" w:type="dxa"/>
          </w:tcPr>
          <w:p w14:paraId="6F0A31A4" w14:textId="13DA6109" w:rsidR="008C448D" w:rsidRPr="006B5570" w:rsidRDefault="008C448D" w:rsidP="00E3224A">
            <w:pPr>
              <w:rPr>
                <w:lang w:val="en-GB"/>
              </w:rPr>
            </w:pPr>
            <w:r w:rsidRPr="009A2E4C">
              <w:rPr>
                <w:lang w:val="en-GB"/>
              </w:rPr>
              <w:t>11</w:t>
            </w:r>
            <w:r>
              <w:rPr>
                <w:lang w:val="en-GB"/>
              </w:rPr>
              <w:t>.</w:t>
            </w:r>
          </w:p>
        </w:tc>
        <w:tc>
          <w:tcPr>
            <w:tcW w:w="7400" w:type="dxa"/>
          </w:tcPr>
          <w:p w14:paraId="0E0FD711" w14:textId="316A893D" w:rsidR="008C448D" w:rsidRPr="00CE43DA" w:rsidRDefault="00CE43DA" w:rsidP="00E3224A">
            <w:r w:rsidRPr="00CE43DA">
              <w:t xml:space="preserve">Synergier CRPD-rek </w:t>
            </w:r>
            <w:r w:rsidR="003B1C6A">
              <w:t xml:space="preserve">art. </w:t>
            </w:r>
            <w:r>
              <w:t xml:space="preserve">1-4, </w:t>
            </w:r>
            <w:r w:rsidR="003B1C6A">
              <w:t xml:space="preserve">19, </w:t>
            </w:r>
            <w:r>
              <w:t xml:space="preserve">28 </w:t>
            </w:r>
          </w:p>
        </w:tc>
      </w:tr>
      <w:tr w:rsidR="008C448D" w:rsidRPr="001B1869" w14:paraId="5E15E620" w14:textId="77777777" w:rsidTr="008C448D">
        <w:tc>
          <w:tcPr>
            <w:tcW w:w="850" w:type="dxa"/>
          </w:tcPr>
          <w:p w14:paraId="12510182" w14:textId="1448AD55" w:rsidR="008C448D" w:rsidRDefault="008C448D" w:rsidP="00384174">
            <w:pPr>
              <w:rPr>
                <w:b/>
                <w:lang w:val="en-GB"/>
              </w:rPr>
            </w:pPr>
            <w:r>
              <w:rPr>
                <w:b/>
                <w:lang w:val="en-GB"/>
              </w:rPr>
              <w:t>29(b)</w:t>
            </w:r>
          </w:p>
        </w:tc>
        <w:tc>
          <w:tcPr>
            <w:tcW w:w="6663" w:type="dxa"/>
          </w:tcPr>
          <w:p w14:paraId="48B3901F" w14:textId="5ECCC35C" w:rsidR="008C448D" w:rsidRPr="0097055E" w:rsidRDefault="008C448D" w:rsidP="00E3224A">
            <w:pPr>
              <w:rPr>
                <w:lang w:val="en-GB"/>
              </w:rPr>
            </w:pPr>
            <w:r w:rsidRPr="0097055E">
              <w:rPr>
                <w:lang w:val="en-GB"/>
              </w:rPr>
              <w:t>Adopt targeted measures to address increases in poverty, particularly among older single women and immigrants, as well as the disproportionately high rates of poverty faced by residents of foreign descent.</w:t>
            </w:r>
          </w:p>
        </w:tc>
        <w:tc>
          <w:tcPr>
            <w:tcW w:w="1134" w:type="dxa"/>
          </w:tcPr>
          <w:p w14:paraId="2BACE26F" w14:textId="3FDBB892" w:rsidR="008C448D" w:rsidRPr="006B5570" w:rsidRDefault="008C448D" w:rsidP="00E3224A">
            <w:pPr>
              <w:rPr>
                <w:lang w:val="en-GB"/>
              </w:rPr>
            </w:pPr>
            <w:r w:rsidRPr="009A2E4C">
              <w:rPr>
                <w:lang w:val="en-GB"/>
              </w:rPr>
              <w:t>11</w:t>
            </w:r>
            <w:r>
              <w:rPr>
                <w:lang w:val="en-GB"/>
              </w:rPr>
              <w:t>.</w:t>
            </w:r>
          </w:p>
        </w:tc>
        <w:tc>
          <w:tcPr>
            <w:tcW w:w="7400" w:type="dxa"/>
          </w:tcPr>
          <w:p w14:paraId="6FB06B6B" w14:textId="77777777" w:rsidR="008C448D" w:rsidRPr="006B5570" w:rsidRDefault="008C448D" w:rsidP="00E3224A">
            <w:pPr>
              <w:rPr>
                <w:lang w:val="en-GB"/>
              </w:rPr>
            </w:pPr>
          </w:p>
        </w:tc>
      </w:tr>
      <w:tr w:rsidR="008C448D" w:rsidRPr="001B1869" w14:paraId="7CF645A2" w14:textId="77777777" w:rsidTr="008C448D">
        <w:tc>
          <w:tcPr>
            <w:tcW w:w="850" w:type="dxa"/>
            <w:shd w:val="clear" w:color="auto" w:fill="ACB9CA" w:themeFill="text2" w:themeFillTint="66"/>
          </w:tcPr>
          <w:p w14:paraId="7E3B63C1" w14:textId="77777777" w:rsidR="008C448D" w:rsidRPr="0065225D" w:rsidRDefault="008C448D" w:rsidP="00384174">
            <w:pPr>
              <w:rPr>
                <w:b/>
              </w:rPr>
            </w:pPr>
          </w:p>
        </w:tc>
        <w:tc>
          <w:tcPr>
            <w:tcW w:w="6663" w:type="dxa"/>
            <w:shd w:val="clear" w:color="auto" w:fill="ACB9CA" w:themeFill="text2" w:themeFillTint="66"/>
          </w:tcPr>
          <w:p w14:paraId="476EED81" w14:textId="0A9D9C36" w:rsidR="008C448D" w:rsidRPr="0065225D" w:rsidRDefault="008C448D" w:rsidP="0065225D">
            <w:pPr>
              <w:rPr>
                <w:b/>
              </w:rPr>
            </w:pPr>
            <w:r w:rsidRPr="0065225D">
              <w:rPr>
                <w:b/>
              </w:rPr>
              <w:t xml:space="preserve">Rätt till </w:t>
            </w:r>
            <w:r>
              <w:rPr>
                <w:b/>
              </w:rPr>
              <w:t xml:space="preserve">lämplig </w:t>
            </w:r>
            <w:r w:rsidRPr="0065225D">
              <w:rPr>
                <w:b/>
              </w:rPr>
              <w:t>bostad</w:t>
            </w:r>
          </w:p>
        </w:tc>
        <w:tc>
          <w:tcPr>
            <w:tcW w:w="1134" w:type="dxa"/>
            <w:shd w:val="clear" w:color="auto" w:fill="ACB9CA" w:themeFill="text2" w:themeFillTint="66"/>
          </w:tcPr>
          <w:p w14:paraId="059A5A97" w14:textId="77777777" w:rsidR="008C448D" w:rsidRPr="0065225D" w:rsidRDefault="008C448D" w:rsidP="00E3224A">
            <w:pPr>
              <w:rPr>
                <w:b/>
              </w:rPr>
            </w:pPr>
          </w:p>
        </w:tc>
        <w:tc>
          <w:tcPr>
            <w:tcW w:w="7400" w:type="dxa"/>
            <w:shd w:val="clear" w:color="auto" w:fill="ACB9CA" w:themeFill="text2" w:themeFillTint="66"/>
          </w:tcPr>
          <w:p w14:paraId="42B03537" w14:textId="77777777" w:rsidR="008C448D" w:rsidRPr="0065225D" w:rsidRDefault="008C448D" w:rsidP="00E3224A">
            <w:pPr>
              <w:rPr>
                <w:b/>
              </w:rPr>
            </w:pPr>
          </w:p>
        </w:tc>
      </w:tr>
      <w:tr w:rsidR="008C448D" w:rsidRPr="00E56815" w14:paraId="26DF1D46" w14:textId="77777777" w:rsidTr="008C448D">
        <w:tc>
          <w:tcPr>
            <w:tcW w:w="850" w:type="dxa"/>
          </w:tcPr>
          <w:p w14:paraId="0D412FD0" w14:textId="649DF8C0" w:rsidR="008C448D" w:rsidRDefault="008C448D" w:rsidP="00384174">
            <w:pPr>
              <w:rPr>
                <w:b/>
                <w:lang w:val="en-GB"/>
              </w:rPr>
            </w:pPr>
            <w:r>
              <w:rPr>
                <w:b/>
                <w:lang w:val="en-GB"/>
              </w:rPr>
              <w:t>31(a)</w:t>
            </w:r>
          </w:p>
        </w:tc>
        <w:tc>
          <w:tcPr>
            <w:tcW w:w="6663" w:type="dxa"/>
          </w:tcPr>
          <w:p w14:paraId="18D3F88F" w14:textId="0D5040CE" w:rsidR="008C448D" w:rsidRPr="0097055E" w:rsidRDefault="008C448D" w:rsidP="00E3224A">
            <w:pPr>
              <w:rPr>
                <w:lang w:val="en-GB"/>
              </w:rPr>
            </w:pPr>
            <w:r w:rsidRPr="0097055E">
              <w:rPr>
                <w:lang w:val="en-GB"/>
              </w:rPr>
              <w:t>Clearly define responsibilities and strengthen the coordination of all local, municipal and national authorities with respect to housing, homelessness and housing management strategies</w:t>
            </w:r>
            <w:r>
              <w:rPr>
                <w:lang w:val="en-GB"/>
              </w:rPr>
              <w:t>.</w:t>
            </w:r>
          </w:p>
        </w:tc>
        <w:tc>
          <w:tcPr>
            <w:tcW w:w="1134" w:type="dxa"/>
          </w:tcPr>
          <w:p w14:paraId="16F3500E" w14:textId="5427FD88" w:rsidR="008C448D" w:rsidRPr="006B5570" w:rsidRDefault="008C448D" w:rsidP="00E3224A">
            <w:pPr>
              <w:rPr>
                <w:lang w:val="en-GB"/>
              </w:rPr>
            </w:pPr>
            <w:r w:rsidRPr="009A2E4C">
              <w:rPr>
                <w:lang w:val="en-GB"/>
              </w:rPr>
              <w:t>11</w:t>
            </w:r>
            <w:r>
              <w:rPr>
                <w:lang w:val="en-GB"/>
              </w:rPr>
              <w:t>.</w:t>
            </w:r>
          </w:p>
        </w:tc>
        <w:tc>
          <w:tcPr>
            <w:tcW w:w="7400" w:type="dxa"/>
          </w:tcPr>
          <w:p w14:paraId="22A81FF7" w14:textId="7489CD94" w:rsidR="008C448D" w:rsidRPr="00E56815" w:rsidRDefault="007C669B" w:rsidP="00E3224A">
            <w:r w:rsidRPr="00E56815">
              <w:t>Synergier CRPD-rek art 19</w:t>
            </w:r>
            <w:r w:rsidR="00E56815" w:rsidRPr="00E56815">
              <w:t xml:space="preserve"> (</w:t>
            </w:r>
            <w:r w:rsidR="00E56815">
              <w:t xml:space="preserve">även </w:t>
            </w:r>
            <w:r w:rsidR="00E56815" w:rsidRPr="00E56815">
              <w:t>art 5 om</w:t>
            </w:r>
            <w:r w:rsidR="00E56815">
              <w:t xml:space="preserve"> skydd mot diskriminering som rör bostäder)</w:t>
            </w:r>
          </w:p>
        </w:tc>
      </w:tr>
      <w:tr w:rsidR="008C448D" w:rsidRPr="001B1869" w14:paraId="515FAB99" w14:textId="77777777" w:rsidTr="008C448D">
        <w:tc>
          <w:tcPr>
            <w:tcW w:w="850" w:type="dxa"/>
          </w:tcPr>
          <w:p w14:paraId="6AB6B7EC" w14:textId="5268A615" w:rsidR="008C448D" w:rsidRDefault="008C448D" w:rsidP="00384174">
            <w:pPr>
              <w:rPr>
                <w:b/>
                <w:lang w:val="en-GB"/>
              </w:rPr>
            </w:pPr>
            <w:r>
              <w:rPr>
                <w:b/>
                <w:lang w:val="en-GB"/>
              </w:rPr>
              <w:t>31(b)</w:t>
            </w:r>
          </w:p>
        </w:tc>
        <w:tc>
          <w:tcPr>
            <w:tcW w:w="6663" w:type="dxa"/>
          </w:tcPr>
          <w:p w14:paraId="7EBAD8EF" w14:textId="73FB89B4" w:rsidR="008C448D" w:rsidRPr="0097055E" w:rsidRDefault="008C448D" w:rsidP="00E3224A">
            <w:pPr>
              <w:rPr>
                <w:lang w:val="en-GB"/>
              </w:rPr>
            </w:pPr>
            <w:r w:rsidRPr="0097055E">
              <w:rPr>
                <w:lang w:val="en-GB"/>
              </w:rPr>
              <w:t>Collect statistical data on the extent of homelessness, disaggregated by geographic location, age, gender, sex, mother tongue and languages commonly spoken at home</w:t>
            </w:r>
            <w:r>
              <w:rPr>
                <w:lang w:val="en-GB"/>
              </w:rPr>
              <w:t>.</w:t>
            </w:r>
          </w:p>
        </w:tc>
        <w:tc>
          <w:tcPr>
            <w:tcW w:w="1134" w:type="dxa"/>
          </w:tcPr>
          <w:p w14:paraId="612140DC" w14:textId="560ACC8E" w:rsidR="008C448D" w:rsidRPr="006B5570" w:rsidRDefault="008C448D" w:rsidP="00E3224A">
            <w:pPr>
              <w:rPr>
                <w:lang w:val="en-GB"/>
              </w:rPr>
            </w:pPr>
            <w:r w:rsidRPr="009A2E4C">
              <w:rPr>
                <w:lang w:val="en-GB"/>
              </w:rPr>
              <w:t>11</w:t>
            </w:r>
            <w:r>
              <w:rPr>
                <w:lang w:val="en-GB"/>
              </w:rPr>
              <w:t>.</w:t>
            </w:r>
          </w:p>
        </w:tc>
        <w:tc>
          <w:tcPr>
            <w:tcW w:w="7400" w:type="dxa"/>
          </w:tcPr>
          <w:p w14:paraId="36B4CE6B" w14:textId="77777777" w:rsidR="008C448D" w:rsidRPr="006B5570" w:rsidRDefault="008C448D" w:rsidP="00E3224A">
            <w:pPr>
              <w:rPr>
                <w:lang w:val="en-GB"/>
              </w:rPr>
            </w:pPr>
          </w:p>
        </w:tc>
      </w:tr>
      <w:tr w:rsidR="008C448D" w:rsidRPr="001B1869" w14:paraId="0478D78F" w14:textId="77777777" w:rsidTr="008C448D">
        <w:tc>
          <w:tcPr>
            <w:tcW w:w="850" w:type="dxa"/>
          </w:tcPr>
          <w:p w14:paraId="6999446B" w14:textId="21CB5765" w:rsidR="008C448D" w:rsidRDefault="008C448D" w:rsidP="00384174">
            <w:pPr>
              <w:rPr>
                <w:b/>
                <w:lang w:val="en-GB"/>
              </w:rPr>
            </w:pPr>
            <w:r>
              <w:rPr>
                <w:b/>
                <w:lang w:val="en-GB"/>
              </w:rPr>
              <w:lastRenderedPageBreak/>
              <w:t>31(c)</w:t>
            </w:r>
          </w:p>
        </w:tc>
        <w:tc>
          <w:tcPr>
            <w:tcW w:w="6663" w:type="dxa"/>
          </w:tcPr>
          <w:p w14:paraId="37E29DD4" w14:textId="1FA3BBF0" w:rsidR="008C448D" w:rsidRPr="0097055E" w:rsidRDefault="008C448D" w:rsidP="00E3224A">
            <w:pPr>
              <w:rPr>
                <w:lang w:val="en-GB"/>
              </w:rPr>
            </w:pPr>
            <w:r w:rsidRPr="0097055E">
              <w:rPr>
                <w:lang w:val="en-GB"/>
              </w:rPr>
              <w:t>Adopt measures to address the root causes of homelessness, including special measures targeting disadvantaged and marginalized groups, in particular those new to the housing market such as young people and recent immigrants.</w:t>
            </w:r>
          </w:p>
        </w:tc>
        <w:tc>
          <w:tcPr>
            <w:tcW w:w="1134" w:type="dxa"/>
          </w:tcPr>
          <w:p w14:paraId="0BCDA982" w14:textId="198433E5" w:rsidR="008C448D" w:rsidRPr="006B5570" w:rsidRDefault="008C448D" w:rsidP="00E3224A">
            <w:pPr>
              <w:rPr>
                <w:lang w:val="en-GB"/>
              </w:rPr>
            </w:pPr>
            <w:r w:rsidRPr="009A2E4C">
              <w:rPr>
                <w:lang w:val="en-GB"/>
              </w:rPr>
              <w:t>11</w:t>
            </w:r>
            <w:r>
              <w:rPr>
                <w:lang w:val="en-GB"/>
              </w:rPr>
              <w:t>.</w:t>
            </w:r>
          </w:p>
        </w:tc>
        <w:tc>
          <w:tcPr>
            <w:tcW w:w="7400" w:type="dxa"/>
          </w:tcPr>
          <w:p w14:paraId="22647F6A" w14:textId="77777777" w:rsidR="008C448D" w:rsidRPr="006B5570" w:rsidRDefault="008C448D" w:rsidP="00E3224A">
            <w:pPr>
              <w:rPr>
                <w:lang w:val="en-GB"/>
              </w:rPr>
            </w:pPr>
          </w:p>
        </w:tc>
      </w:tr>
      <w:tr w:rsidR="008C448D" w:rsidRPr="00AE7B93" w14:paraId="03D4EF0F" w14:textId="77777777" w:rsidTr="008C448D">
        <w:tc>
          <w:tcPr>
            <w:tcW w:w="850" w:type="dxa"/>
            <w:shd w:val="clear" w:color="auto" w:fill="ACB9CA" w:themeFill="text2" w:themeFillTint="66"/>
          </w:tcPr>
          <w:p w14:paraId="2AC15635" w14:textId="77777777" w:rsidR="008C448D" w:rsidRPr="00AE7B93" w:rsidRDefault="008C448D" w:rsidP="00384174">
            <w:pPr>
              <w:rPr>
                <w:b/>
                <w:lang w:val="en-GB"/>
              </w:rPr>
            </w:pPr>
          </w:p>
        </w:tc>
        <w:tc>
          <w:tcPr>
            <w:tcW w:w="6663" w:type="dxa"/>
            <w:shd w:val="clear" w:color="auto" w:fill="ACB9CA" w:themeFill="text2" w:themeFillTint="66"/>
          </w:tcPr>
          <w:p w14:paraId="561507EE" w14:textId="788AB03D" w:rsidR="008C448D" w:rsidRPr="00AE7B93" w:rsidRDefault="008C448D" w:rsidP="0065225D">
            <w:pPr>
              <w:rPr>
                <w:b/>
              </w:rPr>
            </w:pPr>
            <w:r w:rsidRPr="00AE7B93">
              <w:rPr>
                <w:b/>
              </w:rPr>
              <w:t>Rätten att åtnjuta bästa möjliga fysiska och psykiska hälsa.</w:t>
            </w:r>
          </w:p>
        </w:tc>
        <w:tc>
          <w:tcPr>
            <w:tcW w:w="1134" w:type="dxa"/>
            <w:shd w:val="clear" w:color="auto" w:fill="ACB9CA" w:themeFill="text2" w:themeFillTint="66"/>
          </w:tcPr>
          <w:p w14:paraId="7FDE2164" w14:textId="77777777" w:rsidR="008C448D" w:rsidRPr="00AE7B93" w:rsidRDefault="008C448D" w:rsidP="00E3224A">
            <w:pPr>
              <w:rPr>
                <w:b/>
              </w:rPr>
            </w:pPr>
          </w:p>
        </w:tc>
        <w:tc>
          <w:tcPr>
            <w:tcW w:w="7400" w:type="dxa"/>
            <w:shd w:val="clear" w:color="auto" w:fill="ACB9CA" w:themeFill="text2" w:themeFillTint="66"/>
          </w:tcPr>
          <w:p w14:paraId="1D954DC3" w14:textId="77777777" w:rsidR="008C448D" w:rsidRPr="00AE7B93" w:rsidRDefault="008C448D" w:rsidP="00E3224A">
            <w:pPr>
              <w:rPr>
                <w:b/>
              </w:rPr>
            </w:pPr>
          </w:p>
        </w:tc>
      </w:tr>
      <w:tr w:rsidR="008C448D" w:rsidRPr="00E56815" w14:paraId="4DFE7EF7" w14:textId="77777777" w:rsidTr="008C448D">
        <w:tc>
          <w:tcPr>
            <w:tcW w:w="850" w:type="dxa"/>
          </w:tcPr>
          <w:p w14:paraId="38EC3A3B" w14:textId="10E48986" w:rsidR="008C448D" w:rsidRDefault="008C448D" w:rsidP="00384174">
            <w:pPr>
              <w:rPr>
                <w:b/>
                <w:lang w:val="en-GB"/>
              </w:rPr>
            </w:pPr>
            <w:r>
              <w:rPr>
                <w:b/>
                <w:lang w:val="en-GB"/>
              </w:rPr>
              <w:t>33(a</w:t>
            </w:r>
            <w:r w:rsidRPr="00384174">
              <w:rPr>
                <w:b/>
                <w:lang w:val="en-GB"/>
              </w:rPr>
              <w:t>)</w:t>
            </w:r>
          </w:p>
        </w:tc>
        <w:tc>
          <w:tcPr>
            <w:tcW w:w="6663" w:type="dxa"/>
          </w:tcPr>
          <w:p w14:paraId="5982C3F2" w14:textId="6F273042" w:rsidR="008C448D" w:rsidRPr="00D3572B" w:rsidRDefault="008C448D" w:rsidP="00E3224A">
            <w:pPr>
              <w:rPr>
                <w:lang w:val="en-GB"/>
              </w:rPr>
            </w:pPr>
            <w:r w:rsidRPr="00D3572B">
              <w:rPr>
                <w:lang w:val="en-GB"/>
              </w:rPr>
              <w:t>Clearly define the term “health care that cannot wait” and take the necessary measures to guarantee the right to health of adult asylum-seekers, towards the full realization of the right to the highest attainable standard of physical and mental health in accordance with international law</w:t>
            </w:r>
            <w:r>
              <w:rPr>
                <w:lang w:val="en-GB"/>
              </w:rPr>
              <w:t>.</w:t>
            </w:r>
          </w:p>
        </w:tc>
        <w:tc>
          <w:tcPr>
            <w:tcW w:w="1134" w:type="dxa"/>
          </w:tcPr>
          <w:p w14:paraId="08A404F1" w14:textId="57F468CF" w:rsidR="008C448D" w:rsidRPr="006B5570" w:rsidRDefault="008C448D" w:rsidP="00E3224A">
            <w:pPr>
              <w:rPr>
                <w:lang w:val="en-GB"/>
              </w:rPr>
            </w:pPr>
            <w:r w:rsidRPr="00A5519B">
              <w:rPr>
                <w:lang w:val="en-GB"/>
              </w:rPr>
              <w:t>12</w:t>
            </w:r>
            <w:r>
              <w:rPr>
                <w:lang w:val="en-GB"/>
              </w:rPr>
              <w:t>.</w:t>
            </w:r>
          </w:p>
        </w:tc>
        <w:tc>
          <w:tcPr>
            <w:tcW w:w="7400" w:type="dxa"/>
          </w:tcPr>
          <w:p w14:paraId="280E772B" w14:textId="3D0A062B" w:rsidR="008C448D" w:rsidRPr="00E56815" w:rsidRDefault="008C448D" w:rsidP="00E3224A"/>
        </w:tc>
      </w:tr>
      <w:tr w:rsidR="008C448D" w:rsidRPr="001B1869" w14:paraId="2CA40A5C" w14:textId="77777777" w:rsidTr="008C448D">
        <w:tc>
          <w:tcPr>
            <w:tcW w:w="850" w:type="dxa"/>
          </w:tcPr>
          <w:p w14:paraId="145D3137" w14:textId="2A7C8643" w:rsidR="008C448D" w:rsidRDefault="008C448D" w:rsidP="00384174">
            <w:pPr>
              <w:rPr>
                <w:b/>
                <w:lang w:val="en-GB"/>
              </w:rPr>
            </w:pPr>
            <w:r>
              <w:rPr>
                <w:b/>
                <w:lang w:val="en-GB"/>
              </w:rPr>
              <w:t>33(b</w:t>
            </w:r>
            <w:r w:rsidRPr="00384174">
              <w:rPr>
                <w:b/>
                <w:lang w:val="en-GB"/>
              </w:rPr>
              <w:t>)</w:t>
            </w:r>
          </w:p>
        </w:tc>
        <w:tc>
          <w:tcPr>
            <w:tcW w:w="6663" w:type="dxa"/>
          </w:tcPr>
          <w:p w14:paraId="5635C74C" w14:textId="4098845B" w:rsidR="008C448D" w:rsidRPr="00D3572B" w:rsidRDefault="008C448D" w:rsidP="00E3224A">
            <w:pPr>
              <w:rPr>
                <w:lang w:val="en-GB"/>
              </w:rPr>
            </w:pPr>
            <w:r w:rsidRPr="00D3572B">
              <w:rPr>
                <w:lang w:val="en-GB"/>
              </w:rPr>
              <w:t>Review its plan to suspend publicly funded interpretation and translation services for individuals who are not resident permit holders and undocumented individuals and consider providing such services to all individuals in hospitals and health-care settings</w:t>
            </w:r>
            <w:r>
              <w:rPr>
                <w:lang w:val="en-GB"/>
              </w:rPr>
              <w:t>.</w:t>
            </w:r>
          </w:p>
        </w:tc>
        <w:tc>
          <w:tcPr>
            <w:tcW w:w="1134" w:type="dxa"/>
          </w:tcPr>
          <w:p w14:paraId="682B90EA" w14:textId="776D0C65" w:rsidR="008C448D" w:rsidRPr="006B5570" w:rsidRDefault="008C448D" w:rsidP="00E3224A">
            <w:pPr>
              <w:rPr>
                <w:lang w:val="en-GB"/>
              </w:rPr>
            </w:pPr>
            <w:r w:rsidRPr="00A5519B">
              <w:rPr>
                <w:lang w:val="en-GB"/>
              </w:rPr>
              <w:t>12</w:t>
            </w:r>
            <w:r>
              <w:rPr>
                <w:lang w:val="en-GB"/>
              </w:rPr>
              <w:t>.</w:t>
            </w:r>
          </w:p>
        </w:tc>
        <w:tc>
          <w:tcPr>
            <w:tcW w:w="7400" w:type="dxa"/>
          </w:tcPr>
          <w:p w14:paraId="311924C3" w14:textId="77777777" w:rsidR="008C448D" w:rsidRPr="006B5570" w:rsidRDefault="008C448D" w:rsidP="00E3224A">
            <w:pPr>
              <w:rPr>
                <w:lang w:val="en-GB"/>
              </w:rPr>
            </w:pPr>
          </w:p>
        </w:tc>
      </w:tr>
      <w:tr w:rsidR="008C448D" w:rsidRPr="001B1869" w14:paraId="324DBC7A" w14:textId="77777777" w:rsidTr="008C448D">
        <w:tc>
          <w:tcPr>
            <w:tcW w:w="850" w:type="dxa"/>
          </w:tcPr>
          <w:p w14:paraId="429B3C91" w14:textId="0637951B" w:rsidR="008C448D" w:rsidRDefault="008C448D" w:rsidP="00384174">
            <w:pPr>
              <w:rPr>
                <w:b/>
                <w:lang w:val="en-GB"/>
              </w:rPr>
            </w:pPr>
            <w:r>
              <w:rPr>
                <w:b/>
                <w:lang w:val="en-GB"/>
              </w:rPr>
              <w:t>33(c</w:t>
            </w:r>
            <w:r w:rsidRPr="00384174">
              <w:rPr>
                <w:b/>
                <w:lang w:val="en-GB"/>
              </w:rPr>
              <w:t>)</w:t>
            </w:r>
          </w:p>
        </w:tc>
        <w:tc>
          <w:tcPr>
            <w:tcW w:w="6663" w:type="dxa"/>
          </w:tcPr>
          <w:p w14:paraId="586F5B7E" w14:textId="6BC3B703" w:rsidR="008C448D" w:rsidRPr="00D3572B" w:rsidRDefault="008C448D" w:rsidP="00E3224A">
            <w:pPr>
              <w:rPr>
                <w:lang w:val="en-GB"/>
              </w:rPr>
            </w:pPr>
            <w:r w:rsidRPr="00D3572B">
              <w:rPr>
                <w:lang w:val="en-GB"/>
              </w:rPr>
              <w:t>Strengthen mental health services and support systems by allocating sufficient resources, strengthening community-based support, conducting initiatives to destigmatize mental health issues and implementing targeted measures for groups disproportionately affected by mental health problems, such as older men, young people, women, and disadvantaged and marginalized populations</w:t>
            </w:r>
            <w:r>
              <w:rPr>
                <w:lang w:val="en-GB"/>
              </w:rPr>
              <w:t>.</w:t>
            </w:r>
          </w:p>
        </w:tc>
        <w:tc>
          <w:tcPr>
            <w:tcW w:w="1134" w:type="dxa"/>
          </w:tcPr>
          <w:p w14:paraId="4315E24A" w14:textId="31A2A04C" w:rsidR="008C448D" w:rsidRPr="006B5570" w:rsidRDefault="008C448D" w:rsidP="00E3224A">
            <w:pPr>
              <w:rPr>
                <w:lang w:val="en-GB"/>
              </w:rPr>
            </w:pPr>
            <w:r w:rsidRPr="00A5519B">
              <w:rPr>
                <w:lang w:val="en-GB"/>
              </w:rPr>
              <w:t>12</w:t>
            </w:r>
            <w:r>
              <w:rPr>
                <w:lang w:val="en-GB"/>
              </w:rPr>
              <w:t>.</w:t>
            </w:r>
          </w:p>
        </w:tc>
        <w:tc>
          <w:tcPr>
            <w:tcW w:w="7400" w:type="dxa"/>
          </w:tcPr>
          <w:p w14:paraId="197ED8BE" w14:textId="50E178FD" w:rsidR="008C448D" w:rsidRPr="00FD7831" w:rsidRDefault="00FD7831" w:rsidP="00E3224A">
            <w:r w:rsidRPr="00E56815">
              <w:t>Synergier CRPD-rek art 25 sa</w:t>
            </w:r>
            <w:r>
              <w:t>mt art 14 och 15 om om tvångsvård</w:t>
            </w:r>
            <w:r w:rsidR="00C114D3">
              <w:t>.</w:t>
            </w:r>
          </w:p>
        </w:tc>
      </w:tr>
      <w:tr w:rsidR="008C448D" w:rsidRPr="001B1869" w14:paraId="6FFF33C8" w14:textId="42085FAC" w:rsidTr="008C448D">
        <w:tc>
          <w:tcPr>
            <w:tcW w:w="850" w:type="dxa"/>
          </w:tcPr>
          <w:p w14:paraId="1C0C8ECB" w14:textId="1D5FDB57" w:rsidR="008C448D" w:rsidRDefault="008C448D" w:rsidP="00384174">
            <w:pPr>
              <w:rPr>
                <w:b/>
                <w:lang w:val="en-GB"/>
              </w:rPr>
            </w:pPr>
            <w:r>
              <w:rPr>
                <w:b/>
                <w:lang w:val="en-GB"/>
              </w:rPr>
              <w:t>33</w:t>
            </w:r>
            <w:r w:rsidRPr="00384174">
              <w:rPr>
                <w:b/>
                <w:lang w:val="en-GB"/>
              </w:rPr>
              <w:t xml:space="preserve">(d) </w:t>
            </w:r>
          </w:p>
        </w:tc>
        <w:tc>
          <w:tcPr>
            <w:tcW w:w="6663" w:type="dxa"/>
          </w:tcPr>
          <w:p w14:paraId="28CEB260" w14:textId="5F91B855" w:rsidR="008C448D" w:rsidRPr="00D3572B" w:rsidRDefault="008C448D" w:rsidP="00E3224A">
            <w:pPr>
              <w:rPr>
                <w:lang w:val="en-GB"/>
              </w:rPr>
            </w:pPr>
            <w:r w:rsidRPr="00384174">
              <w:rPr>
                <w:lang w:val="en-GB"/>
              </w:rPr>
              <w:t xml:space="preserve">Refer to </w:t>
            </w:r>
            <w:hyperlink r:id="rId15" w:history="1">
              <w:r w:rsidRPr="00384174">
                <w:rPr>
                  <w:rStyle w:val="Hyperlnk"/>
                  <w:lang w:val="en-GB"/>
                </w:rPr>
                <w:t>general comment No. 14 (2000)</w:t>
              </w:r>
            </w:hyperlink>
            <w:r w:rsidRPr="00384174">
              <w:rPr>
                <w:lang w:val="en-GB"/>
              </w:rPr>
              <w:t xml:space="preserve"> </w:t>
            </w:r>
            <w:r w:rsidRPr="00D3572B">
              <w:rPr>
                <w:lang w:val="en-GB"/>
              </w:rPr>
              <w:t>on the right to the highest attainable standard of health and the Committee’s statement on the duties of States towards refugees and migrants under the International Covenant on Economic, Social and Cultural Rights.</w:t>
            </w:r>
          </w:p>
        </w:tc>
        <w:tc>
          <w:tcPr>
            <w:tcW w:w="1134" w:type="dxa"/>
          </w:tcPr>
          <w:p w14:paraId="1C9DE24C" w14:textId="14170CA1" w:rsidR="008C448D" w:rsidRPr="006B5570" w:rsidRDefault="008C448D" w:rsidP="00E3224A">
            <w:pPr>
              <w:rPr>
                <w:lang w:val="en-GB"/>
              </w:rPr>
            </w:pPr>
            <w:r w:rsidRPr="00A5519B">
              <w:rPr>
                <w:lang w:val="en-GB"/>
              </w:rPr>
              <w:t>12</w:t>
            </w:r>
            <w:r>
              <w:rPr>
                <w:lang w:val="en-GB"/>
              </w:rPr>
              <w:t>.</w:t>
            </w:r>
          </w:p>
        </w:tc>
        <w:tc>
          <w:tcPr>
            <w:tcW w:w="7400" w:type="dxa"/>
          </w:tcPr>
          <w:p w14:paraId="564B1BD4" w14:textId="77777777" w:rsidR="008C448D" w:rsidRPr="006B5570" w:rsidRDefault="008C448D" w:rsidP="00E3224A">
            <w:pPr>
              <w:rPr>
                <w:lang w:val="en-GB"/>
              </w:rPr>
            </w:pPr>
          </w:p>
        </w:tc>
      </w:tr>
      <w:tr w:rsidR="008C448D" w:rsidRPr="001B1869" w14:paraId="403B5F22" w14:textId="77777777" w:rsidTr="008C448D">
        <w:tc>
          <w:tcPr>
            <w:tcW w:w="850" w:type="dxa"/>
            <w:shd w:val="clear" w:color="auto" w:fill="ACB9CA" w:themeFill="text2" w:themeFillTint="66"/>
          </w:tcPr>
          <w:p w14:paraId="2352FDD7" w14:textId="77777777" w:rsidR="008C448D" w:rsidRPr="00AE7B93" w:rsidRDefault="008C448D" w:rsidP="00384174">
            <w:pPr>
              <w:rPr>
                <w:b/>
              </w:rPr>
            </w:pPr>
          </w:p>
        </w:tc>
        <w:tc>
          <w:tcPr>
            <w:tcW w:w="6663" w:type="dxa"/>
            <w:shd w:val="clear" w:color="auto" w:fill="ACB9CA" w:themeFill="text2" w:themeFillTint="66"/>
          </w:tcPr>
          <w:p w14:paraId="41E0F879" w14:textId="3CD026CC" w:rsidR="008C448D" w:rsidRPr="00AE7B93" w:rsidRDefault="008C448D" w:rsidP="00E3224A">
            <w:pPr>
              <w:rPr>
                <w:b/>
              </w:rPr>
            </w:pPr>
            <w:r w:rsidRPr="00AE7B93">
              <w:rPr>
                <w:b/>
              </w:rPr>
              <w:t>Narkotikapolitik</w:t>
            </w:r>
          </w:p>
        </w:tc>
        <w:tc>
          <w:tcPr>
            <w:tcW w:w="1134" w:type="dxa"/>
            <w:shd w:val="clear" w:color="auto" w:fill="ACB9CA" w:themeFill="text2" w:themeFillTint="66"/>
          </w:tcPr>
          <w:p w14:paraId="6EA90BDA" w14:textId="77777777" w:rsidR="008C448D" w:rsidRPr="00AE7B93" w:rsidRDefault="008C448D" w:rsidP="00E3224A">
            <w:pPr>
              <w:rPr>
                <w:b/>
              </w:rPr>
            </w:pPr>
          </w:p>
        </w:tc>
        <w:tc>
          <w:tcPr>
            <w:tcW w:w="7400" w:type="dxa"/>
            <w:shd w:val="clear" w:color="auto" w:fill="ACB9CA" w:themeFill="text2" w:themeFillTint="66"/>
          </w:tcPr>
          <w:p w14:paraId="1A7CC918" w14:textId="77777777" w:rsidR="008C448D" w:rsidRPr="00AE7B93" w:rsidRDefault="008C448D" w:rsidP="00E3224A">
            <w:pPr>
              <w:rPr>
                <w:b/>
              </w:rPr>
            </w:pPr>
          </w:p>
        </w:tc>
      </w:tr>
      <w:tr w:rsidR="008C448D" w:rsidRPr="00013CE4" w14:paraId="76641630" w14:textId="77777777" w:rsidTr="008C448D">
        <w:tc>
          <w:tcPr>
            <w:tcW w:w="850" w:type="dxa"/>
          </w:tcPr>
          <w:p w14:paraId="21ECED09" w14:textId="04013E69" w:rsidR="008C448D" w:rsidRDefault="008C448D" w:rsidP="00384174">
            <w:pPr>
              <w:rPr>
                <w:b/>
                <w:lang w:val="en-GB"/>
              </w:rPr>
            </w:pPr>
            <w:r>
              <w:rPr>
                <w:b/>
                <w:lang w:val="en-GB"/>
              </w:rPr>
              <w:t>35</w:t>
            </w:r>
          </w:p>
        </w:tc>
        <w:tc>
          <w:tcPr>
            <w:tcW w:w="6663" w:type="dxa"/>
          </w:tcPr>
          <w:p w14:paraId="194E2D77" w14:textId="0F98D96B" w:rsidR="008C448D" w:rsidRPr="00384174" w:rsidRDefault="008C448D" w:rsidP="00E3224A">
            <w:pPr>
              <w:rPr>
                <w:lang w:val="en-GB"/>
              </w:rPr>
            </w:pPr>
            <w:r>
              <w:rPr>
                <w:lang w:val="en-GB"/>
              </w:rPr>
              <w:t>D</w:t>
            </w:r>
            <w:r w:rsidRPr="00D3572B">
              <w:rPr>
                <w:lang w:val="en-GB"/>
              </w:rPr>
              <w:t>ecriminalize drug use and enhance the availability, accessibility and quality of harm reduction programmes and specialized health-care services available to drug users.</w:t>
            </w:r>
          </w:p>
        </w:tc>
        <w:tc>
          <w:tcPr>
            <w:tcW w:w="1134" w:type="dxa"/>
          </w:tcPr>
          <w:p w14:paraId="6732F4BC" w14:textId="388141D6" w:rsidR="008C448D" w:rsidRPr="006B5570" w:rsidRDefault="008C448D" w:rsidP="00E3224A">
            <w:pPr>
              <w:rPr>
                <w:lang w:val="en-GB"/>
              </w:rPr>
            </w:pPr>
            <w:r w:rsidRPr="00A5519B">
              <w:rPr>
                <w:lang w:val="en-GB"/>
              </w:rPr>
              <w:t>12</w:t>
            </w:r>
            <w:r>
              <w:rPr>
                <w:lang w:val="en-GB"/>
              </w:rPr>
              <w:t>.</w:t>
            </w:r>
          </w:p>
        </w:tc>
        <w:tc>
          <w:tcPr>
            <w:tcW w:w="7400" w:type="dxa"/>
          </w:tcPr>
          <w:p w14:paraId="64679FA3" w14:textId="77777777" w:rsidR="008C448D" w:rsidRPr="006B5570" w:rsidRDefault="008C448D" w:rsidP="00E3224A">
            <w:pPr>
              <w:rPr>
                <w:lang w:val="en-GB"/>
              </w:rPr>
            </w:pPr>
          </w:p>
        </w:tc>
      </w:tr>
      <w:tr w:rsidR="008C448D" w:rsidRPr="00870777" w14:paraId="1761F93C" w14:textId="77777777" w:rsidTr="008C448D">
        <w:tc>
          <w:tcPr>
            <w:tcW w:w="850" w:type="dxa"/>
            <w:shd w:val="clear" w:color="auto" w:fill="ACB9CA" w:themeFill="text2" w:themeFillTint="66"/>
          </w:tcPr>
          <w:p w14:paraId="55A33A84" w14:textId="77777777" w:rsidR="008C448D" w:rsidRPr="00870777" w:rsidRDefault="008C448D" w:rsidP="00384174">
            <w:pPr>
              <w:rPr>
                <w:b/>
                <w:lang w:val="en-GB"/>
              </w:rPr>
            </w:pPr>
          </w:p>
        </w:tc>
        <w:tc>
          <w:tcPr>
            <w:tcW w:w="6663" w:type="dxa"/>
            <w:shd w:val="clear" w:color="auto" w:fill="ACB9CA" w:themeFill="text2" w:themeFillTint="66"/>
          </w:tcPr>
          <w:p w14:paraId="7208B97C" w14:textId="083839EA" w:rsidR="008C448D" w:rsidRPr="00870777" w:rsidRDefault="008C448D" w:rsidP="00870777">
            <w:pPr>
              <w:rPr>
                <w:b/>
              </w:rPr>
            </w:pPr>
            <w:r w:rsidRPr="00870777">
              <w:rPr>
                <w:b/>
              </w:rPr>
              <w:t>Rätten till utbildning</w:t>
            </w:r>
          </w:p>
        </w:tc>
        <w:tc>
          <w:tcPr>
            <w:tcW w:w="1134" w:type="dxa"/>
            <w:shd w:val="clear" w:color="auto" w:fill="ACB9CA" w:themeFill="text2" w:themeFillTint="66"/>
          </w:tcPr>
          <w:p w14:paraId="53C0BA97" w14:textId="77777777" w:rsidR="008C448D" w:rsidRPr="00870777" w:rsidRDefault="008C448D" w:rsidP="00E3224A">
            <w:pPr>
              <w:rPr>
                <w:b/>
              </w:rPr>
            </w:pPr>
          </w:p>
        </w:tc>
        <w:tc>
          <w:tcPr>
            <w:tcW w:w="7400" w:type="dxa"/>
            <w:shd w:val="clear" w:color="auto" w:fill="ACB9CA" w:themeFill="text2" w:themeFillTint="66"/>
          </w:tcPr>
          <w:p w14:paraId="74F28840" w14:textId="77777777" w:rsidR="008C448D" w:rsidRPr="00870777" w:rsidRDefault="008C448D" w:rsidP="00E3224A">
            <w:pPr>
              <w:rPr>
                <w:b/>
              </w:rPr>
            </w:pPr>
          </w:p>
        </w:tc>
      </w:tr>
      <w:tr w:rsidR="008C448D" w:rsidRPr="001B1869" w14:paraId="7DFDCF24" w14:textId="77777777" w:rsidTr="008C448D">
        <w:tc>
          <w:tcPr>
            <w:tcW w:w="850" w:type="dxa"/>
          </w:tcPr>
          <w:p w14:paraId="5C51D6C8" w14:textId="3EC3F7A5" w:rsidR="008C448D" w:rsidRDefault="008C448D" w:rsidP="00384174">
            <w:pPr>
              <w:rPr>
                <w:b/>
                <w:lang w:val="en-GB"/>
              </w:rPr>
            </w:pPr>
            <w:r>
              <w:rPr>
                <w:b/>
                <w:lang w:val="en-GB"/>
              </w:rPr>
              <w:t>37(a</w:t>
            </w:r>
            <w:r w:rsidRPr="00384174">
              <w:rPr>
                <w:b/>
                <w:lang w:val="en-GB"/>
              </w:rPr>
              <w:t>)</w:t>
            </w:r>
          </w:p>
        </w:tc>
        <w:tc>
          <w:tcPr>
            <w:tcW w:w="6663" w:type="dxa"/>
          </w:tcPr>
          <w:p w14:paraId="4AA9A9AC" w14:textId="7F4BD266" w:rsidR="008C448D" w:rsidRPr="00D3572B" w:rsidRDefault="008C448D" w:rsidP="00E3224A">
            <w:pPr>
              <w:rPr>
                <w:lang w:val="en-GB"/>
              </w:rPr>
            </w:pPr>
            <w:r w:rsidRPr="00D3572B">
              <w:rPr>
                <w:lang w:val="en-GB"/>
              </w:rPr>
              <w:t xml:space="preserve">Adopt measures, including targeted measures, to address the socioeconomic stratification of schools, disparities in students’ </w:t>
            </w:r>
            <w:r w:rsidRPr="00D3572B">
              <w:rPr>
                <w:lang w:val="en-GB"/>
              </w:rPr>
              <w:lastRenderedPageBreak/>
              <w:t>performance and discrimination in access to education, based, in particular, on the grounds of gender, race, ethnicity, religion, disability status and national origin.</w:t>
            </w:r>
          </w:p>
        </w:tc>
        <w:tc>
          <w:tcPr>
            <w:tcW w:w="1134" w:type="dxa"/>
          </w:tcPr>
          <w:p w14:paraId="69DEFE5A" w14:textId="0DE842B6" w:rsidR="008C448D" w:rsidRPr="006B5570" w:rsidRDefault="008C448D" w:rsidP="00E3224A">
            <w:pPr>
              <w:rPr>
                <w:lang w:val="en-GB"/>
              </w:rPr>
            </w:pPr>
            <w:r>
              <w:rPr>
                <w:lang w:val="en-GB"/>
              </w:rPr>
              <w:lastRenderedPageBreak/>
              <w:t xml:space="preserve">2(2). 13. </w:t>
            </w:r>
            <w:r w:rsidRPr="00A5519B">
              <w:rPr>
                <w:lang w:val="en-GB"/>
              </w:rPr>
              <w:t>14.</w:t>
            </w:r>
          </w:p>
        </w:tc>
        <w:tc>
          <w:tcPr>
            <w:tcW w:w="7400" w:type="dxa"/>
          </w:tcPr>
          <w:p w14:paraId="38610B5D" w14:textId="52D2E4CC" w:rsidR="008C448D" w:rsidRPr="006B5570" w:rsidRDefault="00C114D3" w:rsidP="00E3224A">
            <w:pPr>
              <w:rPr>
                <w:lang w:val="en-GB"/>
              </w:rPr>
            </w:pPr>
            <w:r>
              <w:rPr>
                <w:lang w:val="en-GB"/>
              </w:rPr>
              <w:t>Synergier CRPD-rek art 24</w:t>
            </w:r>
          </w:p>
        </w:tc>
      </w:tr>
      <w:tr w:rsidR="008C448D" w:rsidRPr="001B1869" w14:paraId="1B6B57C4" w14:textId="77777777" w:rsidTr="008C448D">
        <w:tc>
          <w:tcPr>
            <w:tcW w:w="850" w:type="dxa"/>
          </w:tcPr>
          <w:p w14:paraId="5A50A5AA" w14:textId="7F004E6F" w:rsidR="008C448D" w:rsidRDefault="008C448D" w:rsidP="00384174">
            <w:pPr>
              <w:rPr>
                <w:b/>
                <w:lang w:val="en-GB"/>
              </w:rPr>
            </w:pPr>
            <w:r>
              <w:rPr>
                <w:b/>
                <w:lang w:val="en-GB"/>
              </w:rPr>
              <w:t>37(b</w:t>
            </w:r>
            <w:r w:rsidRPr="00384174">
              <w:rPr>
                <w:b/>
                <w:lang w:val="en-GB"/>
              </w:rPr>
              <w:t>)</w:t>
            </w:r>
          </w:p>
        </w:tc>
        <w:tc>
          <w:tcPr>
            <w:tcW w:w="6663" w:type="dxa"/>
          </w:tcPr>
          <w:p w14:paraId="62F05887" w14:textId="1B0886F2" w:rsidR="008C448D" w:rsidRPr="00D3572B" w:rsidRDefault="008C448D" w:rsidP="00E3224A">
            <w:pPr>
              <w:rPr>
                <w:lang w:val="en-GB"/>
              </w:rPr>
            </w:pPr>
            <w:r w:rsidRPr="00D3572B">
              <w:rPr>
                <w:lang w:val="en-GB"/>
              </w:rPr>
              <w:t>Clarify and enhance the accessibility of recourse mechanisms available for students and parents, raising awareness of the justiciability of the right to education and the right to access effective remedies</w:t>
            </w:r>
            <w:r>
              <w:rPr>
                <w:lang w:val="en-GB"/>
              </w:rPr>
              <w:t>.</w:t>
            </w:r>
          </w:p>
        </w:tc>
        <w:tc>
          <w:tcPr>
            <w:tcW w:w="1134" w:type="dxa"/>
          </w:tcPr>
          <w:p w14:paraId="398110DB" w14:textId="240104CB" w:rsidR="008C448D" w:rsidRPr="006B5570" w:rsidRDefault="008C448D" w:rsidP="00E3224A">
            <w:pPr>
              <w:rPr>
                <w:lang w:val="en-GB"/>
              </w:rPr>
            </w:pPr>
            <w:r>
              <w:rPr>
                <w:lang w:val="en-GB"/>
              </w:rPr>
              <w:t>2(2). 13.</w:t>
            </w:r>
            <w:r w:rsidRPr="00A5519B">
              <w:rPr>
                <w:lang w:val="en-GB"/>
              </w:rPr>
              <w:t xml:space="preserve"> 14.</w:t>
            </w:r>
          </w:p>
        </w:tc>
        <w:tc>
          <w:tcPr>
            <w:tcW w:w="7400" w:type="dxa"/>
          </w:tcPr>
          <w:p w14:paraId="2CD5A6C3" w14:textId="5350CD43" w:rsidR="008C448D" w:rsidRPr="006B5570" w:rsidRDefault="00A53260" w:rsidP="00E3224A">
            <w:pPr>
              <w:rPr>
                <w:lang w:val="en-GB"/>
              </w:rPr>
            </w:pPr>
            <w:r>
              <w:rPr>
                <w:lang w:val="en-GB"/>
              </w:rPr>
              <w:t>Synergier CRPD-rek art 24</w:t>
            </w:r>
          </w:p>
        </w:tc>
      </w:tr>
      <w:tr w:rsidR="008C448D" w:rsidRPr="001B1869" w14:paraId="7CD504FD" w14:textId="77777777" w:rsidTr="008C448D">
        <w:tc>
          <w:tcPr>
            <w:tcW w:w="850" w:type="dxa"/>
          </w:tcPr>
          <w:p w14:paraId="04D414FC" w14:textId="49CE02F1" w:rsidR="008C448D" w:rsidRDefault="008C448D" w:rsidP="00384174">
            <w:pPr>
              <w:rPr>
                <w:b/>
                <w:lang w:val="en-GB"/>
              </w:rPr>
            </w:pPr>
            <w:r>
              <w:rPr>
                <w:b/>
                <w:lang w:val="en-GB"/>
              </w:rPr>
              <w:t>37(c</w:t>
            </w:r>
            <w:r w:rsidRPr="00384174">
              <w:rPr>
                <w:b/>
                <w:lang w:val="en-GB"/>
              </w:rPr>
              <w:t>)</w:t>
            </w:r>
          </w:p>
        </w:tc>
        <w:tc>
          <w:tcPr>
            <w:tcW w:w="6663" w:type="dxa"/>
          </w:tcPr>
          <w:p w14:paraId="5735AC43" w14:textId="099E30EE" w:rsidR="008C448D" w:rsidRPr="00D3572B" w:rsidRDefault="008C448D" w:rsidP="00E3224A">
            <w:pPr>
              <w:rPr>
                <w:lang w:val="en-GB"/>
              </w:rPr>
            </w:pPr>
            <w:r w:rsidRPr="00D3572B">
              <w:rPr>
                <w:lang w:val="en-GB"/>
              </w:rPr>
              <w:t>Improve the capacity of relevant authorities, including the Schools Inspectorate, with respect to preventing, monitoring and addressing discrimination, harassment and hate speech in educational settings</w:t>
            </w:r>
            <w:r>
              <w:rPr>
                <w:lang w:val="en-GB"/>
              </w:rPr>
              <w:t>.</w:t>
            </w:r>
          </w:p>
        </w:tc>
        <w:tc>
          <w:tcPr>
            <w:tcW w:w="1134" w:type="dxa"/>
          </w:tcPr>
          <w:p w14:paraId="411E6054" w14:textId="5010CF79" w:rsidR="008C448D" w:rsidRPr="006B5570" w:rsidRDefault="008C448D" w:rsidP="00E3224A">
            <w:pPr>
              <w:rPr>
                <w:lang w:val="en-GB"/>
              </w:rPr>
            </w:pPr>
            <w:r>
              <w:rPr>
                <w:lang w:val="en-GB"/>
              </w:rPr>
              <w:t>2(2). 13.</w:t>
            </w:r>
            <w:r w:rsidRPr="00A5519B">
              <w:rPr>
                <w:lang w:val="en-GB"/>
              </w:rPr>
              <w:t xml:space="preserve"> 14.</w:t>
            </w:r>
          </w:p>
        </w:tc>
        <w:tc>
          <w:tcPr>
            <w:tcW w:w="7400" w:type="dxa"/>
          </w:tcPr>
          <w:p w14:paraId="4B6BACE7" w14:textId="1525BE49" w:rsidR="008C448D" w:rsidRPr="004D1772" w:rsidRDefault="004D1772" w:rsidP="00E3224A">
            <w:r w:rsidRPr="004D1772">
              <w:t xml:space="preserve">Synergier CRPD-rek art </w:t>
            </w:r>
            <w:r w:rsidR="002D2810">
              <w:t>7 och 24, samt 1-4 (</w:t>
            </w:r>
            <w:r w:rsidR="007729D8">
              <w:t xml:space="preserve">behov av stärkt </w:t>
            </w:r>
            <w:r w:rsidR="002D2810">
              <w:t>lagstiftning</w:t>
            </w:r>
            <w:r w:rsidR="007729D8">
              <w:t>)</w:t>
            </w:r>
          </w:p>
        </w:tc>
      </w:tr>
      <w:tr w:rsidR="008C448D" w:rsidRPr="001B1869" w14:paraId="0087CCE0" w14:textId="77777777" w:rsidTr="008C448D">
        <w:tc>
          <w:tcPr>
            <w:tcW w:w="850" w:type="dxa"/>
          </w:tcPr>
          <w:p w14:paraId="0D0D3781" w14:textId="7F53B2E3" w:rsidR="008C448D" w:rsidRDefault="008C448D" w:rsidP="00384174">
            <w:pPr>
              <w:rPr>
                <w:b/>
                <w:lang w:val="en-GB"/>
              </w:rPr>
            </w:pPr>
            <w:r>
              <w:rPr>
                <w:b/>
                <w:lang w:val="en-GB"/>
              </w:rPr>
              <w:t>37(d</w:t>
            </w:r>
            <w:r w:rsidRPr="00384174">
              <w:rPr>
                <w:b/>
                <w:lang w:val="en-GB"/>
              </w:rPr>
              <w:t>)</w:t>
            </w:r>
          </w:p>
        </w:tc>
        <w:tc>
          <w:tcPr>
            <w:tcW w:w="6663" w:type="dxa"/>
          </w:tcPr>
          <w:p w14:paraId="4F171565" w14:textId="7FF05261" w:rsidR="008C448D" w:rsidRPr="00D3572B" w:rsidRDefault="008C448D" w:rsidP="00E3224A">
            <w:pPr>
              <w:rPr>
                <w:lang w:val="en-GB"/>
              </w:rPr>
            </w:pPr>
            <w:r w:rsidRPr="00D3572B">
              <w:rPr>
                <w:lang w:val="en-GB"/>
              </w:rPr>
              <w:t>Adopt measures to ensure that drug testing in schools and penalties, including suspensions or expulsions, do not disproportionately affect the rights of students, in particular those from disadvantaged and marginalized groups, to education</w:t>
            </w:r>
            <w:r>
              <w:rPr>
                <w:lang w:val="en-GB"/>
              </w:rPr>
              <w:t>.</w:t>
            </w:r>
          </w:p>
        </w:tc>
        <w:tc>
          <w:tcPr>
            <w:tcW w:w="1134" w:type="dxa"/>
          </w:tcPr>
          <w:p w14:paraId="439CB31C" w14:textId="03465657" w:rsidR="008C448D" w:rsidRPr="006B5570" w:rsidRDefault="008C448D" w:rsidP="00E3224A">
            <w:pPr>
              <w:rPr>
                <w:lang w:val="en-GB"/>
              </w:rPr>
            </w:pPr>
            <w:r>
              <w:rPr>
                <w:lang w:val="en-GB"/>
              </w:rPr>
              <w:t>2(2). 13.</w:t>
            </w:r>
            <w:r w:rsidRPr="00A5519B">
              <w:rPr>
                <w:lang w:val="en-GB"/>
              </w:rPr>
              <w:t xml:space="preserve"> 14.</w:t>
            </w:r>
          </w:p>
        </w:tc>
        <w:tc>
          <w:tcPr>
            <w:tcW w:w="7400" w:type="dxa"/>
          </w:tcPr>
          <w:p w14:paraId="7040C9BA" w14:textId="77777777" w:rsidR="008C448D" w:rsidRPr="006B5570" w:rsidRDefault="008C448D" w:rsidP="00E3224A">
            <w:pPr>
              <w:rPr>
                <w:lang w:val="en-GB"/>
              </w:rPr>
            </w:pPr>
          </w:p>
        </w:tc>
      </w:tr>
      <w:tr w:rsidR="008C448D" w:rsidRPr="001B1869" w14:paraId="468932A8" w14:textId="77777777" w:rsidTr="008C448D">
        <w:tc>
          <w:tcPr>
            <w:tcW w:w="850" w:type="dxa"/>
          </w:tcPr>
          <w:p w14:paraId="2D295144" w14:textId="4902986A" w:rsidR="008C448D" w:rsidRDefault="008C448D" w:rsidP="00384174">
            <w:pPr>
              <w:rPr>
                <w:b/>
                <w:lang w:val="en-GB"/>
              </w:rPr>
            </w:pPr>
            <w:r>
              <w:rPr>
                <w:b/>
                <w:lang w:val="en-GB"/>
              </w:rPr>
              <w:t>37(e</w:t>
            </w:r>
            <w:r w:rsidRPr="00384174">
              <w:rPr>
                <w:b/>
                <w:lang w:val="en-GB"/>
              </w:rPr>
              <w:t>)</w:t>
            </w:r>
          </w:p>
        </w:tc>
        <w:tc>
          <w:tcPr>
            <w:tcW w:w="6663" w:type="dxa"/>
          </w:tcPr>
          <w:p w14:paraId="251F5EBE" w14:textId="0C760735" w:rsidR="008C448D" w:rsidRPr="004E2DD1" w:rsidRDefault="008C448D" w:rsidP="00D3572B">
            <w:pPr>
              <w:rPr>
                <w:lang w:val="en-GB"/>
              </w:rPr>
            </w:pPr>
            <w:r w:rsidRPr="00D3572B">
              <w:rPr>
                <w:lang w:val="en-GB"/>
              </w:rPr>
              <w:t>Adopt measures to increase and ensure the proportionate participation of women in science, technology, engineering and mathematics.</w:t>
            </w:r>
          </w:p>
        </w:tc>
        <w:tc>
          <w:tcPr>
            <w:tcW w:w="1134" w:type="dxa"/>
          </w:tcPr>
          <w:p w14:paraId="3F826BFA" w14:textId="15A31F8D" w:rsidR="008C448D" w:rsidRPr="006B5570" w:rsidRDefault="008C448D" w:rsidP="00E3224A">
            <w:pPr>
              <w:rPr>
                <w:lang w:val="en-GB"/>
              </w:rPr>
            </w:pPr>
            <w:r>
              <w:rPr>
                <w:lang w:val="en-GB"/>
              </w:rPr>
              <w:t>2(2). 13.</w:t>
            </w:r>
            <w:r w:rsidRPr="00A5519B">
              <w:rPr>
                <w:lang w:val="en-GB"/>
              </w:rPr>
              <w:t xml:space="preserve"> 14.</w:t>
            </w:r>
          </w:p>
        </w:tc>
        <w:tc>
          <w:tcPr>
            <w:tcW w:w="7400" w:type="dxa"/>
          </w:tcPr>
          <w:p w14:paraId="45075D0A" w14:textId="77777777" w:rsidR="008C448D" w:rsidRPr="006B5570" w:rsidRDefault="008C448D" w:rsidP="00E3224A">
            <w:pPr>
              <w:rPr>
                <w:lang w:val="en-GB"/>
              </w:rPr>
            </w:pPr>
          </w:p>
        </w:tc>
      </w:tr>
      <w:tr w:rsidR="008C448D" w:rsidRPr="001B1869" w14:paraId="19DE1DCB" w14:textId="77777777" w:rsidTr="008C448D">
        <w:tc>
          <w:tcPr>
            <w:tcW w:w="850" w:type="dxa"/>
            <w:shd w:val="clear" w:color="auto" w:fill="ACB9CA" w:themeFill="text2" w:themeFillTint="66"/>
          </w:tcPr>
          <w:p w14:paraId="5FC54DEA" w14:textId="77777777" w:rsidR="008C448D" w:rsidRPr="0068604B" w:rsidRDefault="008C448D" w:rsidP="00384174">
            <w:pPr>
              <w:rPr>
                <w:b/>
              </w:rPr>
            </w:pPr>
          </w:p>
        </w:tc>
        <w:tc>
          <w:tcPr>
            <w:tcW w:w="6663" w:type="dxa"/>
            <w:shd w:val="clear" w:color="auto" w:fill="ACB9CA" w:themeFill="text2" w:themeFillTint="66"/>
          </w:tcPr>
          <w:p w14:paraId="2F4AE98B" w14:textId="5DB94753" w:rsidR="008C448D" w:rsidRPr="0068604B" w:rsidRDefault="008C448D" w:rsidP="00E3224A">
            <w:pPr>
              <w:rPr>
                <w:b/>
              </w:rPr>
            </w:pPr>
            <w:r w:rsidRPr="0068604B">
              <w:rPr>
                <w:b/>
              </w:rPr>
              <w:t>Repatriering av kulturföremål</w:t>
            </w:r>
          </w:p>
        </w:tc>
        <w:tc>
          <w:tcPr>
            <w:tcW w:w="1134" w:type="dxa"/>
            <w:shd w:val="clear" w:color="auto" w:fill="ACB9CA" w:themeFill="text2" w:themeFillTint="66"/>
          </w:tcPr>
          <w:p w14:paraId="67EE43AC" w14:textId="77777777" w:rsidR="008C448D" w:rsidRPr="0068604B" w:rsidRDefault="008C448D" w:rsidP="00E3224A">
            <w:pPr>
              <w:rPr>
                <w:b/>
              </w:rPr>
            </w:pPr>
          </w:p>
        </w:tc>
        <w:tc>
          <w:tcPr>
            <w:tcW w:w="7400" w:type="dxa"/>
            <w:shd w:val="clear" w:color="auto" w:fill="ACB9CA" w:themeFill="text2" w:themeFillTint="66"/>
          </w:tcPr>
          <w:p w14:paraId="158491E8" w14:textId="77777777" w:rsidR="008C448D" w:rsidRPr="0068604B" w:rsidRDefault="008C448D" w:rsidP="00E3224A">
            <w:pPr>
              <w:rPr>
                <w:b/>
              </w:rPr>
            </w:pPr>
          </w:p>
        </w:tc>
      </w:tr>
      <w:tr w:rsidR="008C448D" w:rsidRPr="001B1869" w14:paraId="6B27D607" w14:textId="77777777" w:rsidTr="008C448D">
        <w:tc>
          <w:tcPr>
            <w:tcW w:w="850" w:type="dxa"/>
          </w:tcPr>
          <w:p w14:paraId="09F2E468" w14:textId="039DEE5B" w:rsidR="008C448D" w:rsidRDefault="008C448D" w:rsidP="00384174">
            <w:pPr>
              <w:rPr>
                <w:b/>
                <w:lang w:val="en-GB"/>
              </w:rPr>
            </w:pPr>
            <w:r>
              <w:rPr>
                <w:b/>
                <w:lang w:val="en-GB"/>
              </w:rPr>
              <w:t>39(a</w:t>
            </w:r>
            <w:r w:rsidRPr="00384174">
              <w:rPr>
                <w:b/>
                <w:lang w:val="en-GB"/>
              </w:rPr>
              <w:t>)</w:t>
            </w:r>
          </w:p>
        </w:tc>
        <w:tc>
          <w:tcPr>
            <w:tcW w:w="6663" w:type="dxa"/>
          </w:tcPr>
          <w:p w14:paraId="4631225B" w14:textId="0A3B06EB" w:rsidR="008C448D" w:rsidRPr="0001443A" w:rsidRDefault="008C448D" w:rsidP="00E3224A">
            <w:pPr>
              <w:rPr>
                <w:lang w:val="en-GB"/>
              </w:rPr>
            </w:pPr>
            <w:r w:rsidRPr="0001443A">
              <w:rPr>
                <w:lang w:val="en-GB"/>
              </w:rPr>
              <w:t>Continue to engage with representatives of communities and Indigenous Peoples, including Sámi Parliament representatives, both abroad and within its own territory, adopt measures for returning cultural heritage items, including objects and human remains, to the Sámi people and empower relevant authorities to prepare for and receive repatriated objects.</w:t>
            </w:r>
          </w:p>
        </w:tc>
        <w:tc>
          <w:tcPr>
            <w:tcW w:w="1134" w:type="dxa"/>
          </w:tcPr>
          <w:p w14:paraId="65FFCCD9" w14:textId="08D14357" w:rsidR="008C448D" w:rsidRPr="006B5570" w:rsidRDefault="008C448D" w:rsidP="00E3224A">
            <w:pPr>
              <w:rPr>
                <w:lang w:val="en-GB"/>
              </w:rPr>
            </w:pPr>
            <w:r w:rsidRPr="00A5519B">
              <w:rPr>
                <w:lang w:val="en-GB"/>
              </w:rPr>
              <w:t>15</w:t>
            </w:r>
            <w:r>
              <w:rPr>
                <w:lang w:val="en-GB"/>
              </w:rPr>
              <w:t>.</w:t>
            </w:r>
          </w:p>
        </w:tc>
        <w:tc>
          <w:tcPr>
            <w:tcW w:w="7400" w:type="dxa"/>
          </w:tcPr>
          <w:p w14:paraId="67EC312F" w14:textId="77777777" w:rsidR="008C448D" w:rsidRPr="006B5570" w:rsidRDefault="008C448D" w:rsidP="00E3224A">
            <w:pPr>
              <w:rPr>
                <w:lang w:val="en-GB"/>
              </w:rPr>
            </w:pPr>
          </w:p>
        </w:tc>
      </w:tr>
      <w:tr w:rsidR="008C448D" w:rsidRPr="001B1869" w14:paraId="6746CD34" w14:textId="77777777" w:rsidTr="008C448D">
        <w:tc>
          <w:tcPr>
            <w:tcW w:w="850" w:type="dxa"/>
          </w:tcPr>
          <w:p w14:paraId="600F3629" w14:textId="5CCDD659" w:rsidR="008C448D" w:rsidRDefault="008C448D" w:rsidP="00384174">
            <w:pPr>
              <w:rPr>
                <w:b/>
                <w:lang w:val="en-GB"/>
              </w:rPr>
            </w:pPr>
            <w:r>
              <w:rPr>
                <w:b/>
                <w:lang w:val="en-GB"/>
              </w:rPr>
              <w:t>39(b</w:t>
            </w:r>
            <w:r w:rsidRPr="00384174">
              <w:rPr>
                <w:b/>
                <w:lang w:val="en-GB"/>
              </w:rPr>
              <w:t>)</w:t>
            </w:r>
          </w:p>
        </w:tc>
        <w:tc>
          <w:tcPr>
            <w:tcW w:w="6663" w:type="dxa"/>
          </w:tcPr>
          <w:p w14:paraId="429DA7D3" w14:textId="748B78F9" w:rsidR="008C448D" w:rsidRPr="0001443A" w:rsidRDefault="008C448D" w:rsidP="00E3224A">
            <w:pPr>
              <w:rPr>
                <w:lang w:val="en-GB"/>
              </w:rPr>
            </w:pPr>
            <w:r w:rsidRPr="0001443A">
              <w:rPr>
                <w:lang w:val="en-GB"/>
              </w:rPr>
              <w:t>Adopt measures to identify and encourage voluntary repatriation of objects held in private collections that are of cultural significance to national minorities, while facilitating dialogue between the affected communities and private collection managers.</w:t>
            </w:r>
          </w:p>
        </w:tc>
        <w:tc>
          <w:tcPr>
            <w:tcW w:w="1134" w:type="dxa"/>
          </w:tcPr>
          <w:p w14:paraId="353C16D4" w14:textId="4378B555" w:rsidR="008C448D" w:rsidRPr="006B5570" w:rsidRDefault="008C448D" w:rsidP="00E3224A">
            <w:pPr>
              <w:rPr>
                <w:lang w:val="en-GB"/>
              </w:rPr>
            </w:pPr>
            <w:r w:rsidRPr="00A5519B">
              <w:rPr>
                <w:lang w:val="en-GB"/>
              </w:rPr>
              <w:t>15</w:t>
            </w:r>
            <w:r>
              <w:rPr>
                <w:lang w:val="en-GB"/>
              </w:rPr>
              <w:t>.</w:t>
            </w:r>
          </w:p>
        </w:tc>
        <w:tc>
          <w:tcPr>
            <w:tcW w:w="7400" w:type="dxa"/>
          </w:tcPr>
          <w:p w14:paraId="578D6ACB" w14:textId="77777777" w:rsidR="008C448D" w:rsidRPr="006B5570" w:rsidRDefault="008C448D" w:rsidP="00E3224A">
            <w:pPr>
              <w:rPr>
                <w:lang w:val="en-GB"/>
              </w:rPr>
            </w:pPr>
          </w:p>
        </w:tc>
      </w:tr>
      <w:tr w:rsidR="008C448D" w:rsidRPr="001B1869" w14:paraId="000EE8ED" w14:textId="77777777" w:rsidTr="008C448D">
        <w:tc>
          <w:tcPr>
            <w:tcW w:w="850" w:type="dxa"/>
          </w:tcPr>
          <w:p w14:paraId="238C5A7F" w14:textId="5FA50480" w:rsidR="008C448D" w:rsidRDefault="008C448D" w:rsidP="00384174">
            <w:pPr>
              <w:rPr>
                <w:b/>
                <w:lang w:val="en-GB"/>
              </w:rPr>
            </w:pPr>
            <w:r>
              <w:rPr>
                <w:b/>
                <w:lang w:val="en-GB"/>
              </w:rPr>
              <w:lastRenderedPageBreak/>
              <w:t>39(c</w:t>
            </w:r>
            <w:r w:rsidRPr="00384174">
              <w:rPr>
                <w:b/>
                <w:lang w:val="en-GB"/>
              </w:rPr>
              <w:t>)</w:t>
            </w:r>
          </w:p>
        </w:tc>
        <w:tc>
          <w:tcPr>
            <w:tcW w:w="6663" w:type="dxa"/>
          </w:tcPr>
          <w:p w14:paraId="5A78892F" w14:textId="52755CB8" w:rsidR="008C448D" w:rsidRPr="0001443A" w:rsidRDefault="008C448D" w:rsidP="00E3224A">
            <w:pPr>
              <w:rPr>
                <w:lang w:val="en-GB"/>
              </w:rPr>
            </w:pPr>
            <w:r w:rsidRPr="0001443A">
              <w:rPr>
                <w:lang w:val="en-GB"/>
              </w:rPr>
              <w:t>Conduct public awareness campaigns on the importance of cultural repatriation as well as the cultural contributions of affected communities.</w:t>
            </w:r>
          </w:p>
        </w:tc>
        <w:tc>
          <w:tcPr>
            <w:tcW w:w="1134" w:type="dxa"/>
          </w:tcPr>
          <w:p w14:paraId="5D33C21D" w14:textId="2BBE6D6D" w:rsidR="008C448D" w:rsidRPr="006B5570" w:rsidRDefault="008C448D" w:rsidP="00E3224A">
            <w:pPr>
              <w:rPr>
                <w:lang w:val="en-GB"/>
              </w:rPr>
            </w:pPr>
            <w:r w:rsidRPr="00A5519B">
              <w:rPr>
                <w:lang w:val="en-GB"/>
              </w:rPr>
              <w:t>15</w:t>
            </w:r>
            <w:r>
              <w:rPr>
                <w:lang w:val="en-GB"/>
              </w:rPr>
              <w:t>.</w:t>
            </w:r>
          </w:p>
        </w:tc>
        <w:tc>
          <w:tcPr>
            <w:tcW w:w="7400" w:type="dxa"/>
          </w:tcPr>
          <w:p w14:paraId="32158EAA" w14:textId="77777777" w:rsidR="008C448D" w:rsidRPr="006B5570" w:rsidRDefault="008C448D" w:rsidP="00E3224A">
            <w:pPr>
              <w:rPr>
                <w:lang w:val="en-GB"/>
              </w:rPr>
            </w:pPr>
          </w:p>
        </w:tc>
      </w:tr>
      <w:tr w:rsidR="008C448D" w:rsidRPr="0068604B" w14:paraId="2E180DFF" w14:textId="77777777" w:rsidTr="008C448D">
        <w:tc>
          <w:tcPr>
            <w:tcW w:w="850" w:type="dxa"/>
            <w:shd w:val="clear" w:color="auto" w:fill="ACB9CA" w:themeFill="text2" w:themeFillTint="66"/>
          </w:tcPr>
          <w:p w14:paraId="3605B7FC" w14:textId="77777777" w:rsidR="008C448D" w:rsidRPr="0068604B" w:rsidRDefault="008C448D" w:rsidP="00384174">
            <w:pPr>
              <w:rPr>
                <w:b/>
                <w:lang w:val="en-GB"/>
              </w:rPr>
            </w:pPr>
          </w:p>
        </w:tc>
        <w:tc>
          <w:tcPr>
            <w:tcW w:w="6663" w:type="dxa"/>
            <w:shd w:val="clear" w:color="auto" w:fill="ACB9CA" w:themeFill="text2" w:themeFillTint="66"/>
          </w:tcPr>
          <w:p w14:paraId="14701DC9" w14:textId="1DF8CDF2" w:rsidR="008C448D" w:rsidRPr="0068604B" w:rsidRDefault="008C448D" w:rsidP="0068604B">
            <w:pPr>
              <w:rPr>
                <w:b/>
              </w:rPr>
            </w:pPr>
            <w:r w:rsidRPr="0068604B">
              <w:rPr>
                <w:b/>
              </w:rPr>
              <w:t xml:space="preserve">Tillgång till vetenskapliga framsteg </w:t>
            </w:r>
          </w:p>
        </w:tc>
        <w:tc>
          <w:tcPr>
            <w:tcW w:w="1134" w:type="dxa"/>
            <w:shd w:val="clear" w:color="auto" w:fill="ACB9CA" w:themeFill="text2" w:themeFillTint="66"/>
          </w:tcPr>
          <w:p w14:paraId="2C335654" w14:textId="77777777" w:rsidR="008C448D" w:rsidRPr="0068604B" w:rsidRDefault="008C448D" w:rsidP="00E3224A">
            <w:pPr>
              <w:rPr>
                <w:b/>
              </w:rPr>
            </w:pPr>
          </w:p>
        </w:tc>
        <w:tc>
          <w:tcPr>
            <w:tcW w:w="7400" w:type="dxa"/>
            <w:shd w:val="clear" w:color="auto" w:fill="ACB9CA" w:themeFill="text2" w:themeFillTint="66"/>
          </w:tcPr>
          <w:p w14:paraId="4CC49F17" w14:textId="77777777" w:rsidR="008C448D" w:rsidRPr="0068604B" w:rsidRDefault="008C448D" w:rsidP="00E3224A">
            <w:pPr>
              <w:rPr>
                <w:b/>
              </w:rPr>
            </w:pPr>
          </w:p>
        </w:tc>
      </w:tr>
      <w:tr w:rsidR="008C448D" w:rsidRPr="001B1869" w14:paraId="3EB81DFD" w14:textId="77777777" w:rsidTr="008C448D">
        <w:tc>
          <w:tcPr>
            <w:tcW w:w="850" w:type="dxa"/>
          </w:tcPr>
          <w:p w14:paraId="5FFA1986" w14:textId="1EF54CD7" w:rsidR="008C448D" w:rsidRDefault="008C448D" w:rsidP="00384174">
            <w:pPr>
              <w:rPr>
                <w:b/>
                <w:lang w:val="en-GB"/>
              </w:rPr>
            </w:pPr>
            <w:r>
              <w:rPr>
                <w:b/>
                <w:lang w:val="en-GB"/>
              </w:rPr>
              <w:t>41</w:t>
            </w:r>
          </w:p>
        </w:tc>
        <w:tc>
          <w:tcPr>
            <w:tcW w:w="6663" w:type="dxa"/>
          </w:tcPr>
          <w:p w14:paraId="18B20D7D" w14:textId="6A84E545" w:rsidR="008C448D" w:rsidRPr="0001443A" w:rsidRDefault="008C448D" w:rsidP="00E3224A">
            <w:pPr>
              <w:rPr>
                <w:lang w:val="en-GB"/>
              </w:rPr>
            </w:pPr>
            <w:r>
              <w:rPr>
                <w:lang w:val="en-GB"/>
              </w:rPr>
              <w:t>S</w:t>
            </w:r>
            <w:r w:rsidRPr="0001443A">
              <w:rPr>
                <w:lang w:val="en-GB"/>
              </w:rPr>
              <w:t>trengthen its efforts to ensure that scientific progress and its applications, including information and communications technologies, benefit all persons residing in its territory, without discrimination based on age, region, disability or language.</w:t>
            </w:r>
          </w:p>
        </w:tc>
        <w:tc>
          <w:tcPr>
            <w:tcW w:w="1134" w:type="dxa"/>
          </w:tcPr>
          <w:p w14:paraId="01BC25CB" w14:textId="11455444" w:rsidR="008C448D" w:rsidRPr="006B5570" w:rsidRDefault="008C448D" w:rsidP="00E3224A">
            <w:pPr>
              <w:rPr>
                <w:lang w:val="en-GB"/>
              </w:rPr>
            </w:pPr>
            <w:r w:rsidRPr="00A5519B">
              <w:rPr>
                <w:lang w:val="en-GB"/>
              </w:rPr>
              <w:t>15</w:t>
            </w:r>
            <w:r>
              <w:rPr>
                <w:lang w:val="en-GB"/>
              </w:rPr>
              <w:t>.</w:t>
            </w:r>
          </w:p>
        </w:tc>
        <w:tc>
          <w:tcPr>
            <w:tcW w:w="7400" w:type="dxa"/>
          </w:tcPr>
          <w:p w14:paraId="05C3AC5D" w14:textId="77777777" w:rsidR="008C448D" w:rsidRPr="006B5570" w:rsidRDefault="008C448D" w:rsidP="00E3224A">
            <w:pPr>
              <w:rPr>
                <w:lang w:val="en-GB"/>
              </w:rPr>
            </w:pPr>
          </w:p>
        </w:tc>
      </w:tr>
      <w:tr w:rsidR="008C448D" w:rsidRPr="001B1869" w14:paraId="61F29221" w14:textId="77777777" w:rsidTr="008C448D">
        <w:tc>
          <w:tcPr>
            <w:tcW w:w="850" w:type="dxa"/>
            <w:shd w:val="clear" w:color="auto" w:fill="ACB9CA" w:themeFill="text2" w:themeFillTint="66"/>
          </w:tcPr>
          <w:p w14:paraId="54D75C1E" w14:textId="77777777" w:rsidR="008C448D" w:rsidRPr="0068604B" w:rsidRDefault="008C448D" w:rsidP="00384174">
            <w:pPr>
              <w:rPr>
                <w:b/>
              </w:rPr>
            </w:pPr>
          </w:p>
        </w:tc>
        <w:tc>
          <w:tcPr>
            <w:tcW w:w="6663" w:type="dxa"/>
            <w:shd w:val="clear" w:color="auto" w:fill="ACB9CA" w:themeFill="text2" w:themeFillTint="66"/>
          </w:tcPr>
          <w:p w14:paraId="64F5CFD3" w14:textId="72066CC4" w:rsidR="008C448D" w:rsidRPr="0068604B" w:rsidRDefault="008C448D" w:rsidP="00E3224A">
            <w:pPr>
              <w:rPr>
                <w:b/>
              </w:rPr>
            </w:pPr>
            <w:r w:rsidRPr="0068604B">
              <w:rPr>
                <w:b/>
              </w:rPr>
              <w:t>Övriga rekommendationer</w:t>
            </w:r>
          </w:p>
        </w:tc>
        <w:tc>
          <w:tcPr>
            <w:tcW w:w="1134" w:type="dxa"/>
            <w:shd w:val="clear" w:color="auto" w:fill="ACB9CA" w:themeFill="text2" w:themeFillTint="66"/>
          </w:tcPr>
          <w:p w14:paraId="4532C531" w14:textId="77777777" w:rsidR="008C448D" w:rsidRPr="0068604B" w:rsidRDefault="008C448D" w:rsidP="00E3224A">
            <w:pPr>
              <w:rPr>
                <w:b/>
              </w:rPr>
            </w:pPr>
          </w:p>
        </w:tc>
        <w:tc>
          <w:tcPr>
            <w:tcW w:w="7400" w:type="dxa"/>
            <w:shd w:val="clear" w:color="auto" w:fill="ACB9CA" w:themeFill="text2" w:themeFillTint="66"/>
          </w:tcPr>
          <w:p w14:paraId="723E7A9B" w14:textId="77777777" w:rsidR="008C448D" w:rsidRPr="0068604B" w:rsidRDefault="008C448D" w:rsidP="00E3224A">
            <w:pPr>
              <w:rPr>
                <w:b/>
              </w:rPr>
            </w:pPr>
          </w:p>
        </w:tc>
      </w:tr>
      <w:tr w:rsidR="008C448D" w:rsidRPr="008C448D" w14:paraId="4D999CEC" w14:textId="77777777" w:rsidTr="008C448D">
        <w:tc>
          <w:tcPr>
            <w:tcW w:w="850" w:type="dxa"/>
          </w:tcPr>
          <w:p w14:paraId="1D1A65F1" w14:textId="44892895" w:rsidR="008C448D" w:rsidRDefault="008C448D" w:rsidP="00384174">
            <w:pPr>
              <w:rPr>
                <w:b/>
                <w:lang w:val="en-GB"/>
              </w:rPr>
            </w:pPr>
            <w:r>
              <w:rPr>
                <w:b/>
                <w:lang w:val="en-GB"/>
              </w:rPr>
              <w:t>42</w:t>
            </w:r>
          </w:p>
        </w:tc>
        <w:tc>
          <w:tcPr>
            <w:tcW w:w="6663" w:type="dxa"/>
          </w:tcPr>
          <w:p w14:paraId="18C59403" w14:textId="5D19D5C3" w:rsidR="008C448D" w:rsidRPr="004E2DD1" w:rsidRDefault="008C448D" w:rsidP="00E3224A">
            <w:pPr>
              <w:rPr>
                <w:lang w:val="en-GB"/>
              </w:rPr>
            </w:pPr>
            <w:r>
              <w:rPr>
                <w:lang w:val="en-GB"/>
              </w:rPr>
              <w:t>C</w:t>
            </w:r>
            <w:r w:rsidRPr="00216202">
              <w:rPr>
                <w:lang w:val="en-GB"/>
              </w:rPr>
              <w:t>onsider ratifying the International Convention on the Protection of the Rights of All Migrant Workers and Members of Their Families.</w:t>
            </w:r>
          </w:p>
        </w:tc>
        <w:tc>
          <w:tcPr>
            <w:tcW w:w="1134" w:type="dxa"/>
          </w:tcPr>
          <w:p w14:paraId="6ECBF92D" w14:textId="77777777" w:rsidR="008C448D" w:rsidRPr="00A5519B" w:rsidRDefault="008C448D" w:rsidP="00E3224A">
            <w:pPr>
              <w:rPr>
                <w:lang w:val="en-GB"/>
              </w:rPr>
            </w:pPr>
          </w:p>
        </w:tc>
        <w:tc>
          <w:tcPr>
            <w:tcW w:w="7400" w:type="dxa"/>
          </w:tcPr>
          <w:p w14:paraId="74110FD7" w14:textId="77777777" w:rsidR="008C448D" w:rsidRPr="008C448D" w:rsidRDefault="008C448D" w:rsidP="00AE6308">
            <w:pPr>
              <w:spacing w:after="160" w:line="252" w:lineRule="auto"/>
            </w:pPr>
          </w:p>
        </w:tc>
      </w:tr>
      <w:tr w:rsidR="008C448D" w:rsidRPr="00726466" w14:paraId="3F02C3D4" w14:textId="77777777" w:rsidTr="008C448D">
        <w:tc>
          <w:tcPr>
            <w:tcW w:w="850" w:type="dxa"/>
          </w:tcPr>
          <w:p w14:paraId="6732808E" w14:textId="6CE2946D" w:rsidR="008C448D" w:rsidRDefault="008C448D" w:rsidP="00384174">
            <w:pPr>
              <w:rPr>
                <w:b/>
                <w:lang w:val="en-GB"/>
              </w:rPr>
            </w:pPr>
            <w:r>
              <w:rPr>
                <w:b/>
                <w:lang w:val="en-GB"/>
              </w:rPr>
              <w:t>43</w:t>
            </w:r>
          </w:p>
        </w:tc>
        <w:tc>
          <w:tcPr>
            <w:tcW w:w="6663" w:type="dxa"/>
          </w:tcPr>
          <w:p w14:paraId="177AB0B7" w14:textId="216181CB" w:rsidR="008C448D" w:rsidRDefault="008C448D" w:rsidP="0001443A">
            <w:pPr>
              <w:rPr>
                <w:lang w:val="en-GB"/>
              </w:rPr>
            </w:pPr>
            <w:r>
              <w:rPr>
                <w:lang w:val="en-GB"/>
              </w:rPr>
              <w:t>T</w:t>
            </w:r>
            <w:r w:rsidRPr="0001443A">
              <w:rPr>
                <w:lang w:val="en-GB"/>
              </w:rPr>
              <w:t>ake fully into account its obligations under the Covenant and ensure the full enjoyment of the rights enshrined therein in the implementation of the 2030 Agenda for Sustainable Development at the national level.</w:t>
            </w:r>
          </w:p>
        </w:tc>
        <w:tc>
          <w:tcPr>
            <w:tcW w:w="1134" w:type="dxa"/>
          </w:tcPr>
          <w:p w14:paraId="58DA09E3" w14:textId="77777777" w:rsidR="008C448D" w:rsidRPr="00A5519B" w:rsidRDefault="008C448D" w:rsidP="00E3224A">
            <w:pPr>
              <w:rPr>
                <w:lang w:val="en-GB"/>
              </w:rPr>
            </w:pPr>
          </w:p>
        </w:tc>
        <w:tc>
          <w:tcPr>
            <w:tcW w:w="7400" w:type="dxa"/>
          </w:tcPr>
          <w:p w14:paraId="06B092F7" w14:textId="0EC256A9" w:rsidR="008C448D" w:rsidRPr="00726466" w:rsidRDefault="00726466" w:rsidP="00E3224A">
            <w:r>
              <w:t>S</w:t>
            </w:r>
            <w:r w:rsidRPr="00726466">
              <w:t>ynergier med CRPD-r</w:t>
            </w:r>
            <w:r>
              <w:t>ekommendationer, gen</w:t>
            </w:r>
            <w:r w:rsidR="009268B0">
              <w:t>erellt och kopplat till exempelvis SDG:s 10 och 16.</w:t>
            </w:r>
          </w:p>
        </w:tc>
      </w:tr>
      <w:tr w:rsidR="008C448D" w:rsidRPr="005A6332" w14:paraId="4CDB3D9F" w14:textId="77777777" w:rsidTr="008C448D">
        <w:tc>
          <w:tcPr>
            <w:tcW w:w="850" w:type="dxa"/>
          </w:tcPr>
          <w:p w14:paraId="520E6AA2" w14:textId="1775B893" w:rsidR="008C448D" w:rsidRDefault="008C448D" w:rsidP="00384174">
            <w:pPr>
              <w:rPr>
                <w:b/>
                <w:lang w:val="en-GB"/>
              </w:rPr>
            </w:pPr>
            <w:r>
              <w:rPr>
                <w:b/>
                <w:lang w:val="en-GB"/>
              </w:rPr>
              <w:t>43</w:t>
            </w:r>
          </w:p>
        </w:tc>
        <w:tc>
          <w:tcPr>
            <w:tcW w:w="6663" w:type="dxa"/>
          </w:tcPr>
          <w:p w14:paraId="5ADA58EF" w14:textId="77777777" w:rsidR="008C448D" w:rsidRPr="0001443A" w:rsidRDefault="008C448D" w:rsidP="0001443A">
            <w:pPr>
              <w:rPr>
                <w:lang w:val="en-GB"/>
              </w:rPr>
            </w:pPr>
            <w:r w:rsidRPr="0001443A">
              <w:rPr>
                <w:lang w:val="en-GB"/>
              </w:rPr>
              <w:t xml:space="preserve">Achievement of the Sustainable Development Goals would be </w:t>
            </w:r>
          </w:p>
          <w:p w14:paraId="04DB09C6" w14:textId="1BC8B8E1" w:rsidR="008C448D" w:rsidRPr="0001443A" w:rsidRDefault="008C448D" w:rsidP="0001443A">
            <w:pPr>
              <w:rPr>
                <w:lang w:val="en-GB"/>
              </w:rPr>
            </w:pPr>
            <w:r w:rsidRPr="0001443A">
              <w:rPr>
                <w:lang w:val="en-GB"/>
              </w:rPr>
              <w:t xml:space="preserve">significantly facilitated by the State party establishing independent mechanisms to monitor progress and treating beneficiaries of public programmes as rights holders who can claim entitlements. Moreover, the Committee recommends that the State party </w:t>
            </w:r>
          </w:p>
          <w:p w14:paraId="0E1D992E" w14:textId="7E69466F" w:rsidR="008C448D" w:rsidRDefault="008C448D" w:rsidP="0001443A">
            <w:pPr>
              <w:rPr>
                <w:lang w:val="en-GB"/>
              </w:rPr>
            </w:pPr>
            <w:r w:rsidRPr="0001443A">
              <w:rPr>
                <w:lang w:val="en-GB"/>
              </w:rPr>
              <w:t>support the global commitment of the decade of action to achieve the Sustainable Development Goals.</w:t>
            </w:r>
          </w:p>
        </w:tc>
        <w:tc>
          <w:tcPr>
            <w:tcW w:w="1134" w:type="dxa"/>
          </w:tcPr>
          <w:p w14:paraId="208A2266" w14:textId="77777777" w:rsidR="008C448D" w:rsidRPr="00A5519B" w:rsidRDefault="008C448D" w:rsidP="00E3224A">
            <w:pPr>
              <w:rPr>
                <w:lang w:val="en-GB"/>
              </w:rPr>
            </w:pPr>
          </w:p>
        </w:tc>
        <w:tc>
          <w:tcPr>
            <w:tcW w:w="7400" w:type="dxa"/>
          </w:tcPr>
          <w:p w14:paraId="0FD0806B" w14:textId="341853DC" w:rsidR="008C448D" w:rsidRPr="005A6332" w:rsidRDefault="00105B1A" w:rsidP="00E3224A">
            <w:r>
              <w:t xml:space="preserve">Funktionsrätt Sverige har lämnat flera inspel </w:t>
            </w:r>
            <w:r w:rsidR="001349BE">
              <w:t xml:space="preserve">med bland annat tips om </w:t>
            </w:r>
            <w:r w:rsidR="005A6332" w:rsidRPr="005A6332">
              <w:t>FN</w:t>
            </w:r>
            <w:r w:rsidR="001349BE">
              <w:t>:s förslag till</w:t>
            </w:r>
            <w:r w:rsidR="005A6332" w:rsidRPr="005A6332">
              <w:t xml:space="preserve"> i</w:t>
            </w:r>
            <w:r w:rsidR="005A6332">
              <w:t>ndikatorer för synergier med CRPD, men de används inte</w:t>
            </w:r>
            <w:r w:rsidR="00173A2A">
              <w:t xml:space="preserve"> i Sverige</w:t>
            </w:r>
            <w:r w:rsidR="0086142D">
              <w:t>.</w:t>
            </w:r>
            <w:r w:rsidR="00AE6308">
              <w:t xml:space="preserve"> UN DESA har precis lanserat en förhandsrapport av Development and Disability 2024 med rekommendationer. </w:t>
            </w:r>
            <w:r w:rsidR="00AE6308" w:rsidRPr="00AE6308">
              <w:t>https://social.desa.un.org/publications/un-flagship-report-on-disability-and-development-2024</w:t>
            </w:r>
          </w:p>
        </w:tc>
      </w:tr>
      <w:tr w:rsidR="008C448D" w:rsidRPr="00D53AF9" w14:paraId="6C7A6BEE" w14:textId="77777777" w:rsidTr="008C448D">
        <w:tc>
          <w:tcPr>
            <w:tcW w:w="850" w:type="dxa"/>
          </w:tcPr>
          <w:p w14:paraId="11B10FDB" w14:textId="7C9C4D42" w:rsidR="008C448D" w:rsidRDefault="008C448D" w:rsidP="00384174">
            <w:pPr>
              <w:rPr>
                <w:b/>
                <w:lang w:val="en-GB"/>
              </w:rPr>
            </w:pPr>
            <w:r>
              <w:rPr>
                <w:b/>
                <w:lang w:val="en-GB"/>
              </w:rPr>
              <w:t>43</w:t>
            </w:r>
          </w:p>
        </w:tc>
        <w:tc>
          <w:tcPr>
            <w:tcW w:w="6663" w:type="dxa"/>
          </w:tcPr>
          <w:p w14:paraId="50B9EC58" w14:textId="2F8B7908" w:rsidR="008C448D" w:rsidRPr="0091317B" w:rsidRDefault="008C448D" w:rsidP="00E3224A">
            <w:pPr>
              <w:rPr>
                <w:lang w:val="en-GB"/>
              </w:rPr>
            </w:pPr>
            <w:r w:rsidRPr="00F42476">
              <w:rPr>
                <w:lang w:val="en-GB"/>
              </w:rPr>
              <w:t xml:space="preserve">Implementing the Goals on the basis of the principles of participation, accountability and non-discrimination would ensure that no one is left behind. In this regard, the Committee draws the State party’s attention to its statement on the pledge to </w:t>
            </w:r>
            <w:hyperlink r:id="rId16" w:history="1">
              <w:r w:rsidRPr="00F42476">
                <w:rPr>
                  <w:rStyle w:val="Hyperlnk"/>
                  <w:lang w:val="en-GB"/>
                </w:rPr>
                <w:t>leave no one behind.</w:t>
              </w:r>
            </w:hyperlink>
          </w:p>
        </w:tc>
        <w:tc>
          <w:tcPr>
            <w:tcW w:w="1134" w:type="dxa"/>
          </w:tcPr>
          <w:p w14:paraId="07ACD71F" w14:textId="77777777" w:rsidR="008C448D" w:rsidRPr="00A5519B" w:rsidRDefault="008C448D" w:rsidP="00E3224A">
            <w:pPr>
              <w:rPr>
                <w:lang w:val="en-GB"/>
              </w:rPr>
            </w:pPr>
          </w:p>
        </w:tc>
        <w:tc>
          <w:tcPr>
            <w:tcW w:w="7400" w:type="dxa"/>
          </w:tcPr>
          <w:p w14:paraId="2E902F7C" w14:textId="77777777" w:rsidR="008C448D" w:rsidRPr="006B5570" w:rsidRDefault="008C448D" w:rsidP="00E3224A">
            <w:pPr>
              <w:rPr>
                <w:lang w:val="en-GB"/>
              </w:rPr>
            </w:pPr>
          </w:p>
        </w:tc>
      </w:tr>
      <w:tr w:rsidR="008C448D" w:rsidRPr="008C448D" w14:paraId="64D219C6" w14:textId="77777777" w:rsidTr="008C448D">
        <w:tc>
          <w:tcPr>
            <w:tcW w:w="850" w:type="dxa"/>
          </w:tcPr>
          <w:p w14:paraId="22D791E6" w14:textId="036CC677" w:rsidR="008C448D" w:rsidRDefault="008C448D" w:rsidP="00384174">
            <w:pPr>
              <w:rPr>
                <w:b/>
                <w:lang w:val="en-GB"/>
              </w:rPr>
            </w:pPr>
            <w:r>
              <w:rPr>
                <w:b/>
                <w:lang w:val="en-GB"/>
              </w:rPr>
              <w:t>44</w:t>
            </w:r>
          </w:p>
        </w:tc>
        <w:tc>
          <w:tcPr>
            <w:tcW w:w="6663" w:type="dxa"/>
          </w:tcPr>
          <w:p w14:paraId="54B8326F" w14:textId="77777777" w:rsidR="008C448D" w:rsidRDefault="008C448D" w:rsidP="00E3224A">
            <w:pPr>
              <w:rPr>
                <w:lang w:val="en-GB"/>
              </w:rPr>
            </w:pPr>
            <w:r>
              <w:rPr>
                <w:lang w:val="en-GB"/>
              </w:rPr>
              <w:t>R</w:t>
            </w:r>
            <w:r w:rsidRPr="00F90507">
              <w:rPr>
                <w:lang w:val="en-GB"/>
              </w:rPr>
              <w:t xml:space="preserve">equests that the State party disseminate the present concluding observations widely at all levels of society, including at the local, municipal, regional and national levels, in particular among parliamentarians, public officials and judicial authorities, and that </w:t>
            </w:r>
            <w:r w:rsidRPr="00F90507">
              <w:rPr>
                <w:lang w:val="en-GB"/>
              </w:rPr>
              <w:lastRenderedPageBreak/>
              <w:t>it inform the Committee in its next periodic report about the steps taken to implement them. The Committee emphasizes the crucial role that parliament plays in implementing the present concluding observations and encourages the State party to ensure its involvement in future reporting and follow-up procedures.</w:t>
            </w:r>
          </w:p>
          <w:p w14:paraId="239817FE" w14:textId="77777777" w:rsidR="008C448D" w:rsidRDefault="008C448D" w:rsidP="00E3224A">
            <w:pPr>
              <w:rPr>
                <w:lang w:val="en-GB"/>
              </w:rPr>
            </w:pPr>
          </w:p>
          <w:p w14:paraId="4304E704" w14:textId="1CDD3EE5" w:rsidR="008C448D" w:rsidRPr="00F42476" w:rsidRDefault="008C448D" w:rsidP="00E3224A">
            <w:pPr>
              <w:rPr>
                <w:lang w:val="en-GB"/>
              </w:rPr>
            </w:pPr>
            <w:r>
              <w:rPr>
                <w:lang w:val="en-GB"/>
              </w:rPr>
              <w:t>E</w:t>
            </w:r>
            <w:r w:rsidRPr="00F90507">
              <w:rPr>
                <w:lang w:val="en-GB"/>
              </w:rPr>
              <w:t>ncourages the State party to establish a national mechanism to coordinate and follow-up on the implementation of the Committee’s concluding observations and to continue to engage with non-governmental organizations and other members of civil society, in the follow-up to the present concluding observations and in the process of consultation at the national level prior to the submission of its next periodic report.</w:t>
            </w:r>
          </w:p>
        </w:tc>
        <w:tc>
          <w:tcPr>
            <w:tcW w:w="1134" w:type="dxa"/>
          </w:tcPr>
          <w:p w14:paraId="2E1F62B7" w14:textId="77777777" w:rsidR="008C448D" w:rsidRPr="00A5519B" w:rsidRDefault="008C448D" w:rsidP="00E3224A">
            <w:pPr>
              <w:rPr>
                <w:lang w:val="en-GB"/>
              </w:rPr>
            </w:pPr>
          </w:p>
        </w:tc>
        <w:tc>
          <w:tcPr>
            <w:tcW w:w="7400" w:type="dxa"/>
          </w:tcPr>
          <w:p w14:paraId="3E4FA2C6" w14:textId="0DD53D47" w:rsidR="00173A2A" w:rsidRDefault="00173A2A" w:rsidP="008C448D">
            <w:r>
              <w:t xml:space="preserve">Funktionsrätt Sverige ingick i arbetsgruppen och betonar vikten av synergier, och systematiskt arbete på Regeringskansliet. </w:t>
            </w:r>
            <w:r w:rsidR="00947C09">
              <w:t>Vi står</w:t>
            </w:r>
            <w:r>
              <w:t xml:space="preserve"> bakom </w:t>
            </w:r>
            <w:r w:rsidR="00947C09">
              <w:t>synpunkter från MR-fonden.</w:t>
            </w:r>
          </w:p>
          <w:p w14:paraId="45E98FC7" w14:textId="261CEA27" w:rsidR="008C448D" w:rsidRPr="008C448D" w:rsidRDefault="008C448D" w:rsidP="008C448D">
            <w:r w:rsidRPr="008C448D">
              <w:lastRenderedPageBreak/>
              <w:t>-</w:t>
            </w:r>
            <w:r>
              <w:t xml:space="preserve"> </w:t>
            </w:r>
            <w:r w:rsidRPr="008C448D">
              <w:t xml:space="preserve">Återuppta arbetsgruppens arbete med att ta fram en systematisk process för genomförande av rekommendationerna och nästa rapport. Arbetet grundar sig i OHCHR:s riktlinjer för en nationell mekanism för genomförande och rapportering. </w:t>
            </w:r>
          </w:p>
          <w:p w14:paraId="13DBF400" w14:textId="41440638" w:rsidR="008C448D" w:rsidRPr="008C448D" w:rsidRDefault="008C448D" w:rsidP="008C448D">
            <w:r w:rsidRPr="008C448D">
              <w:t>-</w:t>
            </w:r>
            <w:r>
              <w:t xml:space="preserve"> </w:t>
            </w:r>
            <w:r w:rsidRPr="008C448D">
              <w:t xml:space="preserve">Analysera och tolka rekommendationerna i en svensk kontext för att kunna ta fram en handlingsplan för genomförandet. </w:t>
            </w:r>
          </w:p>
          <w:p w14:paraId="782C6F3A" w14:textId="073E16A0" w:rsidR="008C448D" w:rsidRPr="008C448D" w:rsidRDefault="008C448D" w:rsidP="008C448D">
            <w:r w:rsidRPr="008C448D">
              <w:t>-</w:t>
            </w:r>
            <w:r>
              <w:t xml:space="preserve"> </w:t>
            </w:r>
            <w:r w:rsidRPr="008C448D">
              <w:t>Upprätta en tids- och budgetsatt handlingsplan för genomförandet av rekommendationerna</w:t>
            </w:r>
          </w:p>
          <w:p w14:paraId="5BB3EBFF" w14:textId="57FFB1AE" w:rsidR="008C448D" w:rsidRPr="008C448D" w:rsidRDefault="008C448D" w:rsidP="008C448D">
            <w:r w:rsidRPr="008C448D">
              <w:t>-</w:t>
            </w:r>
            <w:r>
              <w:t xml:space="preserve"> </w:t>
            </w:r>
            <w:r w:rsidRPr="008C448D">
              <w:t>Informera om vilka åtgärder regeringen avser att ta i förhållande till de tre prioriterade rekommendationerna, som ska rapporteras 2026.</w:t>
            </w:r>
          </w:p>
          <w:p w14:paraId="20716D15" w14:textId="2AE42100" w:rsidR="008C448D" w:rsidRPr="008C448D" w:rsidRDefault="008C448D" w:rsidP="008C448D">
            <w:r w:rsidRPr="008C448D">
              <w:t>-</w:t>
            </w:r>
            <w:r>
              <w:t xml:space="preserve"> </w:t>
            </w:r>
            <w:r w:rsidRPr="008C448D">
              <w:t xml:space="preserve">Ta vara på synergier med rekommendationer från andra kommittéer. </w:t>
            </w:r>
          </w:p>
          <w:p w14:paraId="3A727122" w14:textId="0E5DD53B" w:rsidR="008C448D" w:rsidRPr="008C448D" w:rsidRDefault="008C448D" w:rsidP="008C448D">
            <w:r w:rsidRPr="008C448D">
              <w:t>-</w:t>
            </w:r>
            <w:r>
              <w:t xml:space="preserve"> </w:t>
            </w:r>
            <w:r w:rsidRPr="008C448D">
              <w:t>Bjud in civilsamhället en gång årligen för att revidera handlingsplanen och diskutera hur eventuella åtgärder har fallit ut för rättighetsbärarna.</w:t>
            </w:r>
          </w:p>
          <w:p w14:paraId="4A2DBAE8" w14:textId="77777777" w:rsidR="008C448D" w:rsidRDefault="008C448D" w:rsidP="008C448D">
            <w:r w:rsidRPr="008C448D">
              <w:t>-</w:t>
            </w:r>
            <w:r>
              <w:t xml:space="preserve"> </w:t>
            </w:r>
            <w:r w:rsidRPr="008C448D">
              <w:t>Kommunicera hur regeringen har spridit/kommer att sprida rekommendationerna.</w:t>
            </w:r>
          </w:p>
          <w:p w14:paraId="485F7F13" w14:textId="59DF6699" w:rsidR="008C448D" w:rsidRDefault="008C448D" w:rsidP="008C448D">
            <w:bookmarkStart w:id="1" w:name="_Hlk168934033"/>
            <w:r>
              <w:t xml:space="preserve">- Säkerställ att ansvarigt departement eller ansvarig administrativ nivå är medvetna om de rekommendationer de är ansvariga för och upprätta en mekanism för återrapportering till RK. </w:t>
            </w:r>
          </w:p>
          <w:p w14:paraId="73B3FDF9" w14:textId="77777777" w:rsidR="008C448D" w:rsidRDefault="008C448D" w:rsidP="008C448D"/>
          <w:p w14:paraId="5554BD90" w14:textId="77777777" w:rsidR="008C448D" w:rsidRDefault="008C448D" w:rsidP="008C448D">
            <w:pPr>
              <w:rPr>
                <w:i/>
                <w:iCs/>
              </w:rPr>
            </w:pPr>
            <w:r w:rsidRPr="008C448D">
              <w:rPr>
                <w:i/>
                <w:iCs/>
              </w:rPr>
              <w:t xml:space="preserve">Närmare beskrivning av </w:t>
            </w:r>
            <w:r w:rsidR="004872A1">
              <w:rPr>
                <w:i/>
                <w:iCs/>
              </w:rPr>
              <w:t>ovanstående</w:t>
            </w:r>
            <w:r w:rsidRPr="008C448D">
              <w:rPr>
                <w:i/>
                <w:iCs/>
              </w:rPr>
              <w:t xml:space="preserve"> åtgärder finns i arbetsgruppens förslag om ett systematiserat arbete med rekommendationerna. </w:t>
            </w:r>
            <w:bookmarkEnd w:id="1"/>
          </w:p>
          <w:p w14:paraId="26E86E99" w14:textId="77777777" w:rsidR="004872A1" w:rsidRDefault="004872A1" w:rsidP="008C448D">
            <w:pPr>
              <w:rPr>
                <w:i/>
                <w:iCs/>
              </w:rPr>
            </w:pPr>
          </w:p>
          <w:p w14:paraId="3F1C48B0" w14:textId="5BFDFE48" w:rsidR="004872A1" w:rsidRDefault="004872A1" w:rsidP="004872A1">
            <w:r>
              <w:t xml:space="preserve">- återkoppla med svar på de frågor som ställdes under sakrådet. </w:t>
            </w:r>
          </w:p>
          <w:p w14:paraId="1034C9A5" w14:textId="77777777" w:rsidR="004872A1" w:rsidRDefault="004872A1" w:rsidP="004872A1">
            <w:pPr>
              <w:spacing w:line="290" w:lineRule="atLeast"/>
            </w:pPr>
            <w:r>
              <w:t>- återkoppla med minnesanteckningar från sakrådet</w:t>
            </w:r>
          </w:p>
          <w:p w14:paraId="3B1D53EA" w14:textId="5CB9E9DC" w:rsidR="004872A1" w:rsidRDefault="004872A1" w:rsidP="004872A1">
            <w:r>
              <w:t>- återkoppla om den fortsatta processen med rekommendationerna.</w:t>
            </w:r>
          </w:p>
          <w:p w14:paraId="3CDC2707" w14:textId="5982F537" w:rsidR="004872A1" w:rsidRPr="008C448D" w:rsidRDefault="004872A1" w:rsidP="008C448D">
            <w:pPr>
              <w:rPr>
                <w:i/>
                <w:iCs/>
              </w:rPr>
            </w:pPr>
          </w:p>
        </w:tc>
      </w:tr>
      <w:tr w:rsidR="004872A1" w:rsidRPr="004872A1" w14:paraId="7D854ED6" w14:textId="77777777" w:rsidTr="008C448D">
        <w:tc>
          <w:tcPr>
            <w:tcW w:w="850" w:type="dxa"/>
          </w:tcPr>
          <w:p w14:paraId="4EB009D3" w14:textId="5C345856" w:rsidR="004872A1" w:rsidRDefault="004872A1" w:rsidP="00384174">
            <w:pPr>
              <w:rPr>
                <w:b/>
                <w:lang w:val="en-GB"/>
              </w:rPr>
            </w:pPr>
            <w:r>
              <w:rPr>
                <w:b/>
                <w:lang w:val="en-GB"/>
              </w:rPr>
              <w:lastRenderedPageBreak/>
              <w:t>45</w:t>
            </w:r>
          </w:p>
        </w:tc>
        <w:tc>
          <w:tcPr>
            <w:tcW w:w="6663" w:type="dxa"/>
          </w:tcPr>
          <w:p w14:paraId="7E2E670B" w14:textId="303EFD40" w:rsidR="004872A1" w:rsidRPr="004872A1" w:rsidRDefault="004872A1" w:rsidP="004872A1">
            <w:pPr>
              <w:rPr>
                <w:lang w:val="en-GB"/>
              </w:rPr>
            </w:pPr>
            <w:r w:rsidRPr="004872A1">
              <w:rPr>
                <w:lang w:val="en-GB"/>
              </w:rPr>
              <w:t xml:space="preserve">In accordance with the procedure on follow-up to concluding observations adopted by the Committee, the State party is requested to provide, within 24 months of the adoption of the present concluding observations (31 March 2026), information on the implementation of the recommendations contained in paragraphs 15 (a) (Indigenous Peoples), 25 (b) (right to just and </w:t>
            </w:r>
            <w:r w:rsidRPr="004872A1">
              <w:rPr>
                <w:lang w:val="en-GB"/>
              </w:rPr>
              <w:lastRenderedPageBreak/>
              <w:t>favourable conditions of work) and 27 (c) (right to social security) above.</w:t>
            </w:r>
          </w:p>
          <w:p w14:paraId="5275B77F" w14:textId="77777777" w:rsidR="004872A1" w:rsidRDefault="004872A1" w:rsidP="004872A1">
            <w:pPr>
              <w:rPr>
                <w:lang w:val="en-GB"/>
              </w:rPr>
            </w:pPr>
          </w:p>
        </w:tc>
        <w:tc>
          <w:tcPr>
            <w:tcW w:w="1134" w:type="dxa"/>
          </w:tcPr>
          <w:p w14:paraId="090D66CC" w14:textId="77777777" w:rsidR="004872A1" w:rsidRPr="00A5519B" w:rsidRDefault="004872A1" w:rsidP="00E3224A">
            <w:pPr>
              <w:rPr>
                <w:lang w:val="en-GB"/>
              </w:rPr>
            </w:pPr>
          </w:p>
        </w:tc>
        <w:tc>
          <w:tcPr>
            <w:tcW w:w="7400" w:type="dxa"/>
          </w:tcPr>
          <w:p w14:paraId="622D438C" w14:textId="3F693AE4" w:rsidR="004872A1" w:rsidRPr="004872A1" w:rsidRDefault="004872A1" w:rsidP="004872A1">
            <w:r w:rsidRPr="004872A1">
              <w:t>Återkoppla hur regeringen avser a</w:t>
            </w:r>
            <w:r>
              <w:t xml:space="preserve">tt arbeta med att genomföra dessa tre rekommendationer för att kunna återrapportera senast den 31 mars 2026. </w:t>
            </w:r>
          </w:p>
        </w:tc>
      </w:tr>
      <w:tr w:rsidR="004872A1" w:rsidRPr="004872A1" w14:paraId="1C424990" w14:textId="77777777" w:rsidTr="008C448D">
        <w:tc>
          <w:tcPr>
            <w:tcW w:w="850" w:type="dxa"/>
          </w:tcPr>
          <w:p w14:paraId="1D79AC83" w14:textId="24B46C13" w:rsidR="004872A1" w:rsidRDefault="004872A1" w:rsidP="00384174">
            <w:pPr>
              <w:rPr>
                <w:b/>
                <w:lang w:val="en-GB"/>
              </w:rPr>
            </w:pPr>
            <w:r>
              <w:rPr>
                <w:b/>
                <w:lang w:val="en-GB"/>
              </w:rPr>
              <w:t>46</w:t>
            </w:r>
          </w:p>
        </w:tc>
        <w:tc>
          <w:tcPr>
            <w:tcW w:w="6663" w:type="dxa"/>
          </w:tcPr>
          <w:p w14:paraId="5FDBD735" w14:textId="774CD01C" w:rsidR="004872A1" w:rsidRPr="004872A1" w:rsidRDefault="004872A1" w:rsidP="004872A1">
            <w:pPr>
              <w:rPr>
                <w:lang w:val="en-GB"/>
              </w:rPr>
            </w:pPr>
            <w:r w:rsidRPr="004872A1">
              <w:rPr>
                <w:lang w:val="en-GB"/>
              </w:rPr>
              <w:t>The Committee requests the State party to submit its eighth periodic report in accordance with article 16 of the Covenant by 31 March 2029, unless otherwise notified as a result of a change in the review cycle. In accordance with General Assembly resolution 68/268, the word limit for the report is 21,200 words.</w:t>
            </w:r>
          </w:p>
        </w:tc>
        <w:tc>
          <w:tcPr>
            <w:tcW w:w="1134" w:type="dxa"/>
          </w:tcPr>
          <w:p w14:paraId="0FDC003F" w14:textId="77777777" w:rsidR="004872A1" w:rsidRPr="00A5519B" w:rsidRDefault="004872A1" w:rsidP="00E3224A">
            <w:pPr>
              <w:rPr>
                <w:lang w:val="en-GB"/>
              </w:rPr>
            </w:pPr>
          </w:p>
        </w:tc>
        <w:tc>
          <w:tcPr>
            <w:tcW w:w="7400" w:type="dxa"/>
          </w:tcPr>
          <w:p w14:paraId="06022B42" w14:textId="4513C9F1" w:rsidR="004872A1" w:rsidRPr="004872A1" w:rsidRDefault="004872A1" w:rsidP="008C448D">
            <w:r w:rsidRPr="004872A1">
              <w:t>För att kunna genomför</w:t>
            </w:r>
            <w:r>
              <w:t xml:space="preserve">a denna rekommendation hänvisar vi till åtgärder under rekommendation 44. </w:t>
            </w:r>
          </w:p>
        </w:tc>
      </w:tr>
    </w:tbl>
    <w:p w14:paraId="1E020CA1" w14:textId="77777777" w:rsidR="004E2DD1" w:rsidRPr="004872A1" w:rsidRDefault="004E2DD1" w:rsidP="00E3224A"/>
    <w:p w14:paraId="110579D5" w14:textId="6BB785BF" w:rsidR="007A3311" w:rsidRPr="007A3311" w:rsidRDefault="00863D85" w:rsidP="00E3224A">
      <w:r>
        <w:t>Läs r</w:t>
      </w:r>
      <w:r w:rsidRPr="007A3311">
        <w:t>ekommendationerna</w:t>
      </w:r>
      <w:r>
        <w:t xml:space="preserve"> i sin orginalform </w:t>
      </w:r>
      <w:hyperlink r:id="rId17" w:history="1">
        <w:r w:rsidRPr="00863D85">
          <w:rPr>
            <w:rStyle w:val="Hyperlnk"/>
          </w:rPr>
          <w:t>här</w:t>
        </w:r>
      </w:hyperlink>
      <w:r>
        <w:t xml:space="preserve"> </w:t>
      </w:r>
    </w:p>
    <w:p w14:paraId="3BCBC386" w14:textId="0CA2433B" w:rsidR="007A3311" w:rsidRPr="007A3311" w:rsidRDefault="00863D85" w:rsidP="00E3224A">
      <w:r w:rsidRPr="007A3311">
        <w:t>Konve</w:t>
      </w:r>
      <w:r w:rsidR="001064FF">
        <w:t>n</w:t>
      </w:r>
      <w:r w:rsidRPr="007A3311">
        <w:t>tionen</w:t>
      </w:r>
      <w:r>
        <w:t xml:space="preserve"> </w:t>
      </w:r>
      <w:r w:rsidR="001064FF">
        <w:t>om</w:t>
      </w:r>
      <w:r>
        <w:t xml:space="preserve"> ekonomiska, social och kulturella rättigheter finns att läsa på: </w:t>
      </w:r>
      <w:hyperlink r:id="rId18" w:history="1">
        <w:r w:rsidRPr="00863D85">
          <w:rPr>
            <w:rStyle w:val="Hyperlnk"/>
          </w:rPr>
          <w:t>engelska</w:t>
        </w:r>
      </w:hyperlink>
      <w:r>
        <w:t xml:space="preserve">, </w:t>
      </w:r>
      <w:hyperlink r:id="rId19" w:history="1">
        <w:r w:rsidR="007A3311" w:rsidRPr="00863D85">
          <w:rPr>
            <w:rStyle w:val="Hyperlnk"/>
          </w:rPr>
          <w:t>svenska</w:t>
        </w:r>
      </w:hyperlink>
      <w:r w:rsidR="007A3311" w:rsidRPr="007A3311">
        <w:t xml:space="preserve"> </w:t>
      </w:r>
    </w:p>
    <w:sectPr w:rsidR="007A3311" w:rsidRPr="007A3311" w:rsidSect="00D07EEB">
      <w:headerReference w:type="default" r:id="rId2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0C9C1" w14:textId="77777777" w:rsidR="003B1DB7" w:rsidRDefault="003B1DB7" w:rsidP="001A1FDF">
      <w:pPr>
        <w:spacing w:line="240" w:lineRule="auto"/>
      </w:pPr>
      <w:r>
        <w:separator/>
      </w:r>
    </w:p>
  </w:endnote>
  <w:endnote w:type="continuationSeparator" w:id="0">
    <w:p w14:paraId="7E704BE7" w14:textId="77777777" w:rsidR="003B1DB7" w:rsidRDefault="003B1DB7"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4FDFF" w14:textId="77777777" w:rsidR="003B1DB7" w:rsidRDefault="003B1DB7" w:rsidP="001A1FDF">
      <w:pPr>
        <w:spacing w:line="240" w:lineRule="auto"/>
      </w:pPr>
      <w:r>
        <w:separator/>
      </w:r>
    </w:p>
  </w:footnote>
  <w:footnote w:type="continuationSeparator" w:id="0">
    <w:p w14:paraId="277B39FD" w14:textId="77777777" w:rsidR="003B1DB7" w:rsidRDefault="003B1DB7" w:rsidP="001A1FDF">
      <w:pPr>
        <w:spacing w:line="240" w:lineRule="auto"/>
      </w:pPr>
      <w:r>
        <w:continuationSeparator/>
      </w:r>
    </w:p>
  </w:footnote>
  <w:footnote w:id="1">
    <w:p w14:paraId="2B7BCE68" w14:textId="67CA4752" w:rsidR="008C448D" w:rsidRDefault="008C448D">
      <w:pPr>
        <w:pStyle w:val="Fotnotstext"/>
      </w:pPr>
      <w:r>
        <w:rPr>
          <w:rStyle w:val="Fotnotsreferens"/>
        </w:rPr>
        <w:footnoteRef/>
      </w:r>
      <w:r>
        <w:t xml:space="preserve"> Allmän kommentar nr. 24, §27;</w:t>
      </w:r>
      <w:r w:rsidRPr="0003020A">
        <w:t xml:space="preserve"> </w:t>
      </w:r>
      <w:hyperlink r:id="rId1" w:anchor="files" w:history="1">
        <w:r w:rsidRPr="0003020A">
          <w:rPr>
            <w:rStyle w:val="Hyperlnk"/>
          </w:rPr>
          <w:t>ESK-kommitténs uttalande om klimatförändringar och konventionen för ekonomiska, social och kulturella rättigheter</w:t>
        </w:r>
      </w:hyperlink>
      <w:r>
        <w:t xml:space="preserve"> §6</w:t>
      </w:r>
    </w:p>
  </w:footnote>
  <w:footnote w:id="2">
    <w:p w14:paraId="40BEE022" w14:textId="616B3EAF" w:rsidR="008C448D" w:rsidRDefault="008C448D">
      <w:pPr>
        <w:pStyle w:val="Fotnotstext"/>
      </w:pPr>
      <w:r>
        <w:rPr>
          <w:rStyle w:val="Fotnotsreferens"/>
        </w:rPr>
        <w:footnoteRef/>
      </w:r>
      <w:r>
        <w:t xml:space="preserve"> </w:t>
      </w:r>
      <w:r w:rsidRPr="00F36B9D">
        <w:t>15(1)(b), 15</w:t>
      </w:r>
      <w:r>
        <w:t>(4) gäller</w:t>
      </w:r>
      <w:r w:rsidRPr="00F36B9D">
        <w:t xml:space="preserve"> rekommendationen om FN:s gröna klimatfond</w:t>
      </w:r>
      <w:r>
        <w:t xml:space="preserve"> </w:t>
      </w:r>
      <w:hyperlink r:id="rId2" w:anchor="files" w:history="1">
        <w:r w:rsidRPr="00F36B9D">
          <w:rPr>
            <w:rStyle w:val="Hyperlnk"/>
          </w:rPr>
          <w:t>i enlighet med ESK-kommitténs utalande klimatförändringar och konventionen för ekonomiska, social och kulturella rättigheter</w:t>
        </w:r>
      </w:hyperlink>
      <w:r>
        <w:t xml:space="preserv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993E" w14:textId="020C3CD9" w:rsidR="00D07EEB" w:rsidRDefault="002A54F2">
    <w:pPr>
      <w:pStyle w:val="Sidhuvud"/>
    </w:pPr>
    <w:r>
      <w:rPr>
        <w:noProof/>
        <w:lang w:eastAsia="sv-SE"/>
      </w:rPr>
      <w:drawing>
        <wp:anchor distT="0" distB="0" distL="114300" distR="114300" simplePos="0" relativeHeight="251659264" behindDoc="1" locked="0" layoutInCell="1" allowOverlap="1" wp14:anchorId="2A86FE9D" wp14:editId="21FFF53F">
          <wp:simplePos x="0" y="0"/>
          <wp:positionH relativeFrom="column">
            <wp:posOffset>6421755</wp:posOffset>
          </wp:positionH>
          <wp:positionV relativeFrom="paragraph">
            <wp:posOffset>-278130</wp:posOffset>
          </wp:positionV>
          <wp:extent cx="1199444" cy="539750"/>
          <wp:effectExtent l="0" t="0" r="1270" b="0"/>
          <wp:wrapTight wrapText="bothSides">
            <wp:wrapPolygon edited="0">
              <wp:start x="0" y="0"/>
              <wp:lineTo x="0" y="20584"/>
              <wp:lineTo x="21280" y="20584"/>
              <wp:lineTo x="21280" y="0"/>
              <wp:lineTo x="0" y="0"/>
            </wp:wrapPolygon>
          </wp:wrapTight>
          <wp:docPr id="1756607442" name="Bildobjekt 1"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07442" name="Bildobjekt 1" descr="En bild som visar text, Teckensnitt, Grafik,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99444" cy="539750"/>
                  </a:xfrm>
                  <a:prstGeom prst="rect">
                    <a:avLst/>
                  </a:prstGeom>
                </pic:spPr>
              </pic:pic>
            </a:graphicData>
          </a:graphic>
        </wp:anchor>
      </w:drawing>
    </w:r>
    <w:r w:rsidR="00D07EEB">
      <w:rPr>
        <w:noProof/>
        <w:lang w:eastAsia="sv-SE"/>
      </w:rPr>
      <w:drawing>
        <wp:anchor distT="0" distB="0" distL="114300" distR="114300" simplePos="0" relativeHeight="251658240" behindDoc="0" locked="0" layoutInCell="1" allowOverlap="1" wp14:anchorId="5B2F5A5F" wp14:editId="0AA4AC92">
          <wp:simplePos x="0" y="0"/>
          <wp:positionH relativeFrom="column">
            <wp:posOffset>8261182</wp:posOffset>
          </wp:positionH>
          <wp:positionV relativeFrom="paragraph">
            <wp:posOffset>-259427</wp:posOffset>
          </wp:positionV>
          <wp:extent cx="1350000" cy="579600"/>
          <wp:effectExtent l="0" t="0" r="317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 logo mr_fond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57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12C25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23C7AB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6FA6DB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8803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83C5E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71C83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47788A"/>
    <w:multiLevelType w:val="hybridMultilevel"/>
    <w:tmpl w:val="EA18406A"/>
    <w:lvl w:ilvl="0" w:tplc="CF3A9AEC">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8F1D05"/>
    <w:multiLevelType w:val="multilevel"/>
    <w:tmpl w:val="D652AF32"/>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CF735A"/>
    <w:multiLevelType w:val="multilevel"/>
    <w:tmpl w:val="352C3168"/>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3ED2649"/>
    <w:multiLevelType w:val="hybridMultilevel"/>
    <w:tmpl w:val="4A760526"/>
    <w:lvl w:ilvl="0" w:tplc="CB065C6E">
      <w:numFmt w:val="bullet"/>
      <w:lvlText w:val="-"/>
      <w:lvlJc w:val="left"/>
      <w:pPr>
        <w:ind w:left="720" w:hanging="360"/>
      </w:pPr>
      <w:rPr>
        <w:rFonts w:ascii="Aptos" w:eastAsiaTheme="minorHAnsi" w:hAnsi="Aptos"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4925B6F"/>
    <w:multiLevelType w:val="hybridMultilevel"/>
    <w:tmpl w:val="8E0846CE"/>
    <w:lvl w:ilvl="0" w:tplc="65D05CFC">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AD07B2"/>
    <w:multiLevelType w:val="hybridMultilevel"/>
    <w:tmpl w:val="7FEE3222"/>
    <w:lvl w:ilvl="0" w:tplc="2DB01F20">
      <w:start w:val="1"/>
      <w:numFmt w:val="bullet"/>
      <w:lvlText w:val="•"/>
      <w:lvlJc w:val="left"/>
      <w:pPr>
        <w:tabs>
          <w:tab w:val="num" w:pos="1701"/>
        </w:tabs>
        <w:ind w:left="1701" w:hanging="170"/>
      </w:pPr>
      <w:rPr>
        <w:rFonts w:ascii="Times New Roman" w:hAnsi="Times New Roman" w:cs="Times New Roman" w:hint="default"/>
      </w:rPr>
    </w:lvl>
    <w:lvl w:ilvl="1" w:tplc="76A8669A" w:tentative="1">
      <w:start w:val="1"/>
      <w:numFmt w:val="bullet"/>
      <w:lvlText w:val="o"/>
      <w:lvlJc w:val="left"/>
      <w:pPr>
        <w:tabs>
          <w:tab w:val="num" w:pos="3141"/>
        </w:tabs>
        <w:ind w:left="3141" w:hanging="360"/>
      </w:pPr>
      <w:rPr>
        <w:rFonts w:ascii="Courier New" w:hAnsi="Courier New" w:hint="default"/>
      </w:rPr>
    </w:lvl>
    <w:lvl w:ilvl="2" w:tplc="A94671AC" w:tentative="1">
      <w:start w:val="1"/>
      <w:numFmt w:val="bullet"/>
      <w:lvlText w:val=""/>
      <w:lvlJc w:val="left"/>
      <w:pPr>
        <w:tabs>
          <w:tab w:val="num" w:pos="3861"/>
        </w:tabs>
        <w:ind w:left="3861" w:hanging="360"/>
      </w:pPr>
      <w:rPr>
        <w:rFonts w:ascii="Wingdings" w:hAnsi="Wingdings" w:hint="default"/>
      </w:rPr>
    </w:lvl>
    <w:lvl w:ilvl="3" w:tplc="6E064B94" w:tentative="1">
      <w:start w:val="1"/>
      <w:numFmt w:val="bullet"/>
      <w:lvlText w:val=""/>
      <w:lvlJc w:val="left"/>
      <w:pPr>
        <w:tabs>
          <w:tab w:val="num" w:pos="4581"/>
        </w:tabs>
        <w:ind w:left="4581" w:hanging="360"/>
      </w:pPr>
      <w:rPr>
        <w:rFonts w:ascii="Symbol" w:hAnsi="Symbol" w:hint="default"/>
      </w:rPr>
    </w:lvl>
    <w:lvl w:ilvl="4" w:tplc="CD4C5C42" w:tentative="1">
      <w:start w:val="1"/>
      <w:numFmt w:val="bullet"/>
      <w:lvlText w:val="o"/>
      <w:lvlJc w:val="left"/>
      <w:pPr>
        <w:tabs>
          <w:tab w:val="num" w:pos="5301"/>
        </w:tabs>
        <w:ind w:left="5301" w:hanging="360"/>
      </w:pPr>
      <w:rPr>
        <w:rFonts w:ascii="Courier New" w:hAnsi="Courier New" w:hint="default"/>
      </w:rPr>
    </w:lvl>
    <w:lvl w:ilvl="5" w:tplc="A8D0A7EA" w:tentative="1">
      <w:start w:val="1"/>
      <w:numFmt w:val="bullet"/>
      <w:lvlText w:val=""/>
      <w:lvlJc w:val="left"/>
      <w:pPr>
        <w:tabs>
          <w:tab w:val="num" w:pos="6021"/>
        </w:tabs>
        <w:ind w:left="6021" w:hanging="360"/>
      </w:pPr>
      <w:rPr>
        <w:rFonts w:ascii="Wingdings" w:hAnsi="Wingdings" w:hint="default"/>
      </w:rPr>
    </w:lvl>
    <w:lvl w:ilvl="6" w:tplc="69F659EA" w:tentative="1">
      <w:start w:val="1"/>
      <w:numFmt w:val="bullet"/>
      <w:lvlText w:val=""/>
      <w:lvlJc w:val="left"/>
      <w:pPr>
        <w:tabs>
          <w:tab w:val="num" w:pos="6741"/>
        </w:tabs>
        <w:ind w:left="6741" w:hanging="360"/>
      </w:pPr>
      <w:rPr>
        <w:rFonts w:ascii="Symbol" w:hAnsi="Symbol" w:hint="default"/>
      </w:rPr>
    </w:lvl>
    <w:lvl w:ilvl="7" w:tplc="FB546D86" w:tentative="1">
      <w:start w:val="1"/>
      <w:numFmt w:val="bullet"/>
      <w:lvlText w:val="o"/>
      <w:lvlJc w:val="left"/>
      <w:pPr>
        <w:tabs>
          <w:tab w:val="num" w:pos="7461"/>
        </w:tabs>
        <w:ind w:left="7461" w:hanging="360"/>
      </w:pPr>
      <w:rPr>
        <w:rFonts w:ascii="Courier New" w:hAnsi="Courier New" w:hint="default"/>
      </w:rPr>
    </w:lvl>
    <w:lvl w:ilvl="8" w:tplc="434080B2"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6E0A452D"/>
    <w:multiLevelType w:val="hybridMultilevel"/>
    <w:tmpl w:val="6A801482"/>
    <w:lvl w:ilvl="0" w:tplc="6AD6ED20">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79704469">
    <w:abstractNumId w:val="4"/>
  </w:num>
  <w:num w:numId="2" w16cid:durableId="1354064728">
    <w:abstractNumId w:val="1"/>
  </w:num>
  <w:num w:numId="3" w16cid:durableId="817646428">
    <w:abstractNumId w:val="0"/>
  </w:num>
  <w:num w:numId="4" w16cid:durableId="1836602846">
    <w:abstractNumId w:val="5"/>
  </w:num>
  <w:num w:numId="5" w16cid:durableId="1719161788">
    <w:abstractNumId w:val="3"/>
  </w:num>
  <w:num w:numId="6" w16cid:durableId="1643920794">
    <w:abstractNumId w:val="2"/>
  </w:num>
  <w:num w:numId="7" w16cid:durableId="951743774">
    <w:abstractNumId w:val="8"/>
  </w:num>
  <w:num w:numId="8" w16cid:durableId="1894806500">
    <w:abstractNumId w:val="7"/>
  </w:num>
  <w:num w:numId="9" w16cid:durableId="760838597">
    <w:abstractNumId w:val="9"/>
  </w:num>
  <w:num w:numId="10" w16cid:durableId="1406024627">
    <w:abstractNumId w:val="11"/>
  </w:num>
  <w:num w:numId="11" w16cid:durableId="210002042">
    <w:abstractNumId w:val="6"/>
  </w:num>
  <w:num w:numId="12" w16cid:durableId="1539465930">
    <w:abstractNumId w:val="12"/>
  </w:num>
  <w:num w:numId="13" w16cid:durableId="859396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7E"/>
    <w:rsid w:val="00003096"/>
    <w:rsid w:val="00013CE4"/>
    <w:rsid w:val="0001443A"/>
    <w:rsid w:val="0003020A"/>
    <w:rsid w:val="00051E23"/>
    <w:rsid w:val="0007364C"/>
    <w:rsid w:val="00091F8D"/>
    <w:rsid w:val="000B1492"/>
    <w:rsid w:val="000E08E9"/>
    <w:rsid w:val="0010551D"/>
    <w:rsid w:val="00105B1A"/>
    <w:rsid w:val="001064FF"/>
    <w:rsid w:val="001349BE"/>
    <w:rsid w:val="00153AE7"/>
    <w:rsid w:val="00172138"/>
    <w:rsid w:val="00173A2A"/>
    <w:rsid w:val="00194915"/>
    <w:rsid w:val="001A041E"/>
    <w:rsid w:val="001A1FDF"/>
    <w:rsid w:val="001B1869"/>
    <w:rsid w:val="001C75D0"/>
    <w:rsid w:val="001D4651"/>
    <w:rsid w:val="00216202"/>
    <w:rsid w:val="0022799B"/>
    <w:rsid w:val="00240426"/>
    <w:rsid w:val="002677C5"/>
    <w:rsid w:val="0026796C"/>
    <w:rsid w:val="002856A9"/>
    <w:rsid w:val="002A54F2"/>
    <w:rsid w:val="002D2810"/>
    <w:rsid w:val="002F6732"/>
    <w:rsid w:val="00305D3F"/>
    <w:rsid w:val="00345472"/>
    <w:rsid w:val="0036345F"/>
    <w:rsid w:val="0038026A"/>
    <w:rsid w:val="00384174"/>
    <w:rsid w:val="003A76AC"/>
    <w:rsid w:val="003B1C6A"/>
    <w:rsid w:val="003B1DB7"/>
    <w:rsid w:val="003E1C8F"/>
    <w:rsid w:val="00413C4B"/>
    <w:rsid w:val="0041417E"/>
    <w:rsid w:val="00437931"/>
    <w:rsid w:val="004872A1"/>
    <w:rsid w:val="00496BF2"/>
    <w:rsid w:val="004D1772"/>
    <w:rsid w:val="004D66FB"/>
    <w:rsid w:val="004E2DD1"/>
    <w:rsid w:val="005016D1"/>
    <w:rsid w:val="00507135"/>
    <w:rsid w:val="0054405E"/>
    <w:rsid w:val="00550AED"/>
    <w:rsid w:val="00552767"/>
    <w:rsid w:val="005669FB"/>
    <w:rsid w:val="00585030"/>
    <w:rsid w:val="005A6332"/>
    <w:rsid w:val="00635854"/>
    <w:rsid w:val="00643F4B"/>
    <w:rsid w:val="0065225D"/>
    <w:rsid w:val="0068604B"/>
    <w:rsid w:val="006B4B8A"/>
    <w:rsid w:val="006B5570"/>
    <w:rsid w:val="006C2BEB"/>
    <w:rsid w:val="006C34B1"/>
    <w:rsid w:val="006C6AFB"/>
    <w:rsid w:val="006E768C"/>
    <w:rsid w:val="0070235E"/>
    <w:rsid w:val="00725E33"/>
    <w:rsid w:val="00726466"/>
    <w:rsid w:val="00734715"/>
    <w:rsid w:val="00742100"/>
    <w:rsid w:val="007729D8"/>
    <w:rsid w:val="007755D8"/>
    <w:rsid w:val="00783972"/>
    <w:rsid w:val="007A3311"/>
    <w:rsid w:val="007A4600"/>
    <w:rsid w:val="007C321C"/>
    <w:rsid w:val="007C669B"/>
    <w:rsid w:val="007C71C7"/>
    <w:rsid w:val="007D050E"/>
    <w:rsid w:val="007F13EE"/>
    <w:rsid w:val="007F6550"/>
    <w:rsid w:val="007F7D25"/>
    <w:rsid w:val="00822C5C"/>
    <w:rsid w:val="00831F65"/>
    <w:rsid w:val="008506AB"/>
    <w:rsid w:val="0086142D"/>
    <w:rsid w:val="00862435"/>
    <w:rsid w:val="00863D85"/>
    <w:rsid w:val="00870777"/>
    <w:rsid w:val="00871CE0"/>
    <w:rsid w:val="008732B8"/>
    <w:rsid w:val="008808C6"/>
    <w:rsid w:val="008808F0"/>
    <w:rsid w:val="008811E6"/>
    <w:rsid w:val="008818DE"/>
    <w:rsid w:val="00890FC6"/>
    <w:rsid w:val="008A7D0A"/>
    <w:rsid w:val="008C448D"/>
    <w:rsid w:val="008D62D2"/>
    <w:rsid w:val="008D7A8B"/>
    <w:rsid w:val="00903985"/>
    <w:rsid w:val="0091317B"/>
    <w:rsid w:val="00914E1C"/>
    <w:rsid w:val="009268B0"/>
    <w:rsid w:val="009450EE"/>
    <w:rsid w:val="00947C09"/>
    <w:rsid w:val="00952AFF"/>
    <w:rsid w:val="0097055E"/>
    <w:rsid w:val="00994685"/>
    <w:rsid w:val="009A2E4C"/>
    <w:rsid w:val="009A32C2"/>
    <w:rsid w:val="009C5486"/>
    <w:rsid w:val="009E650E"/>
    <w:rsid w:val="00A21563"/>
    <w:rsid w:val="00A52B7D"/>
    <w:rsid w:val="00A53260"/>
    <w:rsid w:val="00A5519B"/>
    <w:rsid w:val="00A72F88"/>
    <w:rsid w:val="00A80811"/>
    <w:rsid w:val="00A93D0D"/>
    <w:rsid w:val="00A97E3A"/>
    <w:rsid w:val="00AB4F41"/>
    <w:rsid w:val="00AD5AE3"/>
    <w:rsid w:val="00AE6308"/>
    <w:rsid w:val="00AE7B93"/>
    <w:rsid w:val="00B10F21"/>
    <w:rsid w:val="00B1673F"/>
    <w:rsid w:val="00B20E38"/>
    <w:rsid w:val="00B37D60"/>
    <w:rsid w:val="00B6389F"/>
    <w:rsid w:val="00B85D8F"/>
    <w:rsid w:val="00BA0425"/>
    <w:rsid w:val="00BA0C6E"/>
    <w:rsid w:val="00BA4789"/>
    <w:rsid w:val="00BD55B8"/>
    <w:rsid w:val="00C114D3"/>
    <w:rsid w:val="00C313D6"/>
    <w:rsid w:val="00C35B53"/>
    <w:rsid w:val="00C774A9"/>
    <w:rsid w:val="00C82E8E"/>
    <w:rsid w:val="00C91A20"/>
    <w:rsid w:val="00CD3D09"/>
    <w:rsid w:val="00CE43DA"/>
    <w:rsid w:val="00CF6FC6"/>
    <w:rsid w:val="00D07EEB"/>
    <w:rsid w:val="00D265FF"/>
    <w:rsid w:val="00D33E5C"/>
    <w:rsid w:val="00D3572B"/>
    <w:rsid w:val="00D53AF9"/>
    <w:rsid w:val="00D658DA"/>
    <w:rsid w:val="00D66423"/>
    <w:rsid w:val="00D7625D"/>
    <w:rsid w:val="00D860D2"/>
    <w:rsid w:val="00DB3F3D"/>
    <w:rsid w:val="00DC5533"/>
    <w:rsid w:val="00E0256A"/>
    <w:rsid w:val="00E222CF"/>
    <w:rsid w:val="00E3224A"/>
    <w:rsid w:val="00E52058"/>
    <w:rsid w:val="00E56815"/>
    <w:rsid w:val="00E63F04"/>
    <w:rsid w:val="00EA264F"/>
    <w:rsid w:val="00EA2927"/>
    <w:rsid w:val="00EE7E8C"/>
    <w:rsid w:val="00EF680E"/>
    <w:rsid w:val="00F044D3"/>
    <w:rsid w:val="00F05963"/>
    <w:rsid w:val="00F216C8"/>
    <w:rsid w:val="00F3212F"/>
    <w:rsid w:val="00F36B9D"/>
    <w:rsid w:val="00F42476"/>
    <w:rsid w:val="00F42F0D"/>
    <w:rsid w:val="00F461FC"/>
    <w:rsid w:val="00F672A9"/>
    <w:rsid w:val="00F75A3A"/>
    <w:rsid w:val="00F81078"/>
    <w:rsid w:val="00F90507"/>
    <w:rsid w:val="00FA7CBC"/>
    <w:rsid w:val="00FD7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3E77"/>
  <w15:docId w15:val="{34A0346A-AF02-4F91-BBEE-1F6A5A7F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line="290" w:lineRule="atLeast"/>
      </w:pPr>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C91A20"/>
  </w:style>
  <w:style w:type="paragraph" w:styleId="Rubrik1">
    <w:name w:val="heading 1"/>
    <w:basedOn w:val="Normal"/>
    <w:next w:val="Normal"/>
    <w:link w:val="Rubrik1Char"/>
    <w:uiPriority w:val="3"/>
    <w:qFormat/>
    <w:rsid w:val="00F42F0D"/>
    <w:pPr>
      <w:keepNext/>
      <w:keepLines/>
      <w:spacing w:before="240" w:after="480" w:line="400" w:lineRule="atLeast"/>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3"/>
    <w:qFormat/>
    <w:rsid w:val="00F42F0D"/>
    <w:pPr>
      <w:spacing w:before="240" w:after="120" w:line="300" w:lineRule="atLeast"/>
      <w:outlineLvl w:val="1"/>
    </w:pPr>
    <w:rPr>
      <w:rFonts w:asciiTheme="majorHAnsi" w:hAnsiTheme="majorHAnsi"/>
      <w:b/>
      <w:sz w:val="26"/>
      <w:szCs w:val="26"/>
    </w:rPr>
  </w:style>
  <w:style w:type="paragraph" w:styleId="Rubrik3">
    <w:name w:val="heading 3"/>
    <w:basedOn w:val="Normal"/>
    <w:next w:val="Normal"/>
    <w:link w:val="Rubrik3Char"/>
    <w:uiPriority w:val="3"/>
    <w:qFormat/>
    <w:rsid w:val="00D7625D"/>
    <w:pPr>
      <w:keepNext/>
      <w:keepLines/>
      <w:spacing w:before="240" w:after="60" w:line="260" w:lineRule="atLeast"/>
      <w:outlineLvl w:val="2"/>
    </w:pPr>
    <w:rPr>
      <w:rFonts w:asciiTheme="majorHAnsi" w:eastAsiaTheme="majorEastAsia" w:hAnsiTheme="majorHAnsi" w:cstheme="majorBidi"/>
      <w:b/>
      <w:sz w:val="20"/>
    </w:rPr>
  </w:style>
  <w:style w:type="paragraph" w:styleId="Rubrik4">
    <w:name w:val="heading 4"/>
    <w:basedOn w:val="Normal"/>
    <w:next w:val="Normal"/>
    <w:link w:val="Rubrik4Char"/>
    <w:uiPriority w:val="3"/>
    <w:qFormat/>
    <w:rsid w:val="00F42F0D"/>
    <w:pPr>
      <w:keepNext/>
      <w:keepLines/>
      <w:spacing w:before="240" w:after="60" w:line="260" w:lineRule="atLeast"/>
      <w:outlineLvl w:val="3"/>
    </w:pPr>
    <w:rPr>
      <w:rFonts w:asciiTheme="majorHAnsi" w:eastAsiaTheme="majorEastAsia" w:hAnsiTheme="majorHAnsi" w:cstheme="majorBidi"/>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496BF2"/>
    <w:pPr>
      <w:tabs>
        <w:tab w:val="center" w:pos="4536"/>
        <w:tab w:val="right" w:pos="9072"/>
      </w:tabs>
      <w:spacing w:line="240" w:lineRule="auto"/>
      <w:jc w:val="center"/>
    </w:pPr>
    <w:rPr>
      <w:rFonts w:asciiTheme="majorHAnsi" w:hAnsiTheme="majorHAnsi"/>
      <w:sz w:val="17"/>
    </w:rPr>
  </w:style>
  <w:style w:type="character" w:customStyle="1" w:styleId="SidhuvudChar">
    <w:name w:val="Sidhuvud Char"/>
    <w:basedOn w:val="Standardstycketeckensnitt"/>
    <w:link w:val="Sidhuvud"/>
    <w:uiPriority w:val="8"/>
    <w:rsid w:val="00496BF2"/>
    <w:rPr>
      <w:rFonts w:asciiTheme="majorHAnsi" w:hAnsiTheme="majorHAnsi"/>
      <w:sz w:val="17"/>
    </w:rPr>
  </w:style>
  <w:style w:type="paragraph" w:styleId="Sidfot">
    <w:name w:val="footer"/>
    <w:basedOn w:val="Normal"/>
    <w:link w:val="SidfotChar"/>
    <w:uiPriority w:val="8"/>
    <w:rsid w:val="00496BF2"/>
    <w:pPr>
      <w:tabs>
        <w:tab w:val="center" w:pos="4536"/>
        <w:tab w:val="right" w:pos="9072"/>
      </w:tabs>
      <w:spacing w:line="240" w:lineRule="auto"/>
      <w:jc w:val="center"/>
    </w:pPr>
    <w:rPr>
      <w:rFonts w:asciiTheme="majorHAnsi" w:hAnsiTheme="majorHAnsi"/>
      <w:sz w:val="17"/>
    </w:rPr>
  </w:style>
  <w:style w:type="character" w:customStyle="1" w:styleId="SidfotChar">
    <w:name w:val="Sidfot Char"/>
    <w:basedOn w:val="Standardstycketeckensnitt"/>
    <w:link w:val="Sidfot"/>
    <w:uiPriority w:val="8"/>
    <w:rsid w:val="00496BF2"/>
    <w:rPr>
      <w:rFonts w:asciiTheme="majorHAnsi" w:hAnsiTheme="majorHAnsi"/>
      <w:sz w:val="17"/>
    </w:rPr>
  </w:style>
  <w:style w:type="paragraph" w:styleId="Liststycke">
    <w:name w:val="List Paragraph"/>
    <w:basedOn w:val="Normal"/>
    <w:uiPriority w:val="34"/>
    <w:qFormat/>
    <w:rsid w:val="002856A9"/>
    <w:pPr>
      <w:ind w:left="720"/>
      <w:contextualSpacing/>
    </w:pPr>
  </w:style>
  <w:style w:type="paragraph" w:styleId="Numreradlista">
    <w:name w:val="List Number"/>
    <w:basedOn w:val="Normal"/>
    <w:uiPriority w:val="6"/>
    <w:rsid w:val="00BA0C6E"/>
    <w:pPr>
      <w:numPr>
        <w:numId w:val="7"/>
      </w:numPr>
      <w:spacing w:before="60" w:after="60"/>
    </w:pPr>
  </w:style>
  <w:style w:type="paragraph" w:styleId="Numreradlista2">
    <w:name w:val="List Number 2"/>
    <w:basedOn w:val="Normal"/>
    <w:uiPriority w:val="6"/>
    <w:rsid w:val="00BA0C6E"/>
    <w:pPr>
      <w:numPr>
        <w:ilvl w:val="1"/>
        <w:numId w:val="7"/>
      </w:numPr>
      <w:spacing w:before="40" w:after="40"/>
    </w:pPr>
  </w:style>
  <w:style w:type="paragraph" w:styleId="Numreradlista3">
    <w:name w:val="List Number 3"/>
    <w:basedOn w:val="Normal"/>
    <w:uiPriority w:val="6"/>
    <w:rsid w:val="00BA0C6E"/>
    <w:pPr>
      <w:numPr>
        <w:ilvl w:val="2"/>
        <w:numId w:val="7"/>
      </w:numPr>
      <w:spacing w:before="20" w:after="20"/>
    </w:pPr>
  </w:style>
  <w:style w:type="paragraph" w:styleId="Punktlista">
    <w:name w:val="List Bullet"/>
    <w:basedOn w:val="Normal"/>
    <w:uiPriority w:val="6"/>
    <w:rsid w:val="00BA0C6E"/>
    <w:pPr>
      <w:numPr>
        <w:numId w:val="8"/>
      </w:numPr>
      <w:spacing w:before="60" w:after="60"/>
    </w:pPr>
  </w:style>
  <w:style w:type="paragraph" w:styleId="Punktlista2">
    <w:name w:val="List Bullet 2"/>
    <w:basedOn w:val="Normal"/>
    <w:uiPriority w:val="6"/>
    <w:rsid w:val="00BA0C6E"/>
    <w:pPr>
      <w:numPr>
        <w:ilvl w:val="1"/>
        <w:numId w:val="8"/>
      </w:numPr>
      <w:spacing w:before="40" w:after="40"/>
    </w:pPr>
  </w:style>
  <w:style w:type="paragraph" w:styleId="Punktlista3">
    <w:name w:val="List Bullet 3"/>
    <w:basedOn w:val="Normal"/>
    <w:uiPriority w:val="6"/>
    <w:rsid w:val="00BA0C6E"/>
    <w:pPr>
      <w:numPr>
        <w:ilvl w:val="2"/>
        <w:numId w:val="8"/>
      </w:numPr>
      <w:spacing w:before="20" w:after="20"/>
      <w:ind w:left="1071" w:hanging="357"/>
    </w:pPr>
  </w:style>
  <w:style w:type="character" w:customStyle="1" w:styleId="Rubrik1Char">
    <w:name w:val="Rubrik 1 Char"/>
    <w:basedOn w:val="Standardstycketeckensnitt"/>
    <w:link w:val="Rubrik1"/>
    <w:uiPriority w:val="3"/>
    <w:rsid w:val="00F42F0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3"/>
    <w:rsid w:val="00F42F0D"/>
    <w:rPr>
      <w:rFonts w:asciiTheme="majorHAnsi" w:hAnsiTheme="majorHAnsi"/>
      <w:b/>
      <w:sz w:val="26"/>
      <w:szCs w:val="26"/>
    </w:rPr>
  </w:style>
  <w:style w:type="paragraph" w:styleId="Brdtext">
    <w:name w:val="Body Text"/>
    <w:basedOn w:val="Normal"/>
    <w:link w:val="BrdtextChar"/>
    <w:uiPriority w:val="6"/>
    <w:semiHidden/>
    <w:rsid w:val="00F75A3A"/>
    <w:pPr>
      <w:spacing w:after="120" w:line="288" w:lineRule="auto"/>
    </w:pPr>
  </w:style>
  <w:style w:type="character" w:customStyle="1" w:styleId="BrdtextChar">
    <w:name w:val="Brödtext Char"/>
    <w:basedOn w:val="Standardstycketeckensnitt"/>
    <w:link w:val="Brdtext"/>
    <w:uiPriority w:val="6"/>
    <w:semiHidden/>
    <w:rsid w:val="00C91A20"/>
  </w:style>
  <w:style w:type="character" w:customStyle="1" w:styleId="Rubrik3Char">
    <w:name w:val="Rubrik 3 Char"/>
    <w:basedOn w:val="Standardstycketeckensnitt"/>
    <w:link w:val="Rubrik3"/>
    <w:uiPriority w:val="3"/>
    <w:rsid w:val="00D7625D"/>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3"/>
    <w:rsid w:val="00F42F0D"/>
    <w:rPr>
      <w:rFonts w:asciiTheme="majorHAnsi" w:eastAsiaTheme="majorEastAsia" w:hAnsiTheme="majorHAnsi" w:cstheme="majorBidi"/>
      <w:i/>
      <w:iCs/>
      <w:sz w:val="20"/>
    </w:rPr>
  </w:style>
  <w:style w:type="paragraph" w:styleId="Rubrik">
    <w:name w:val="Title"/>
    <w:basedOn w:val="Normal"/>
    <w:next w:val="Normal"/>
    <w:link w:val="RubrikChar"/>
    <w:uiPriority w:val="2"/>
    <w:rsid w:val="00EA2927"/>
    <w:pPr>
      <w:spacing w:before="480" w:after="480" w:line="240" w:lineRule="auto"/>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2"/>
    <w:rsid w:val="00EA292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2"/>
    <w:rsid w:val="00EA2927"/>
    <w:pPr>
      <w:numPr>
        <w:ilvl w:val="1"/>
      </w:numPr>
      <w:spacing w:before="360" w:after="360" w:line="400" w:lineRule="atLeast"/>
    </w:pPr>
    <w:rPr>
      <w:rFonts w:asciiTheme="majorHAnsi" w:eastAsiaTheme="minorEastAsia" w:hAnsiTheme="majorHAnsi"/>
      <w:spacing w:val="15"/>
      <w:sz w:val="40"/>
      <w:szCs w:val="22"/>
    </w:rPr>
  </w:style>
  <w:style w:type="character" w:customStyle="1" w:styleId="UnderrubrikChar">
    <w:name w:val="Underrubrik Char"/>
    <w:basedOn w:val="Standardstycketeckensnitt"/>
    <w:link w:val="Underrubrik"/>
    <w:uiPriority w:val="2"/>
    <w:rsid w:val="00EA2927"/>
    <w:rPr>
      <w:rFonts w:asciiTheme="majorHAnsi" w:eastAsiaTheme="minorEastAsia" w:hAnsiTheme="majorHAnsi"/>
      <w:spacing w:val="15"/>
      <w:sz w:val="40"/>
      <w:szCs w:val="22"/>
    </w:rPr>
  </w:style>
  <w:style w:type="paragraph" w:customStyle="1" w:styleId="SKS-Brev">
    <w:name w:val="SKS-Brev"/>
    <w:basedOn w:val="Normal"/>
    <w:rsid w:val="00C774A9"/>
    <w:pPr>
      <w:spacing w:line="320" w:lineRule="exact"/>
    </w:pPr>
    <w:rPr>
      <w:rFonts w:ascii="AGaramond" w:eastAsia="Times New Roman" w:hAnsi="AGaramond" w:cs="Times New Roman"/>
      <w:szCs w:val="20"/>
      <w:lang w:eastAsia="sv-SE"/>
    </w:rPr>
  </w:style>
  <w:style w:type="character" w:styleId="Sidnummer">
    <w:name w:val="page number"/>
    <w:basedOn w:val="Standardstycketeckensnitt"/>
    <w:uiPriority w:val="8"/>
    <w:rsid w:val="00496BF2"/>
    <w:rPr>
      <w:sz w:val="20"/>
    </w:rPr>
  </w:style>
  <w:style w:type="table" w:styleId="Tabellrutnt">
    <w:name w:val="Table Grid"/>
    <w:basedOn w:val="Normaltabell"/>
    <w:uiPriority w:val="39"/>
    <w:rsid w:val="00F424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42476"/>
    <w:rPr>
      <w:color w:val="0563C1" w:themeColor="hyperlink"/>
      <w:u w:val="single"/>
    </w:rPr>
  </w:style>
  <w:style w:type="character" w:styleId="AnvndHyperlnk">
    <w:name w:val="FollowedHyperlink"/>
    <w:basedOn w:val="Standardstycketeckensnitt"/>
    <w:uiPriority w:val="99"/>
    <w:semiHidden/>
    <w:unhideWhenUsed/>
    <w:rsid w:val="00F42476"/>
    <w:rPr>
      <w:color w:val="954F72" w:themeColor="followedHyperlink"/>
      <w:u w:val="single"/>
    </w:rPr>
  </w:style>
  <w:style w:type="character" w:styleId="Kommentarsreferens">
    <w:name w:val="annotation reference"/>
    <w:basedOn w:val="Standardstycketeckensnitt"/>
    <w:uiPriority w:val="99"/>
    <w:semiHidden/>
    <w:unhideWhenUsed/>
    <w:rsid w:val="00D33E5C"/>
    <w:rPr>
      <w:sz w:val="16"/>
      <w:szCs w:val="16"/>
    </w:rPr>
  </w:style>
  <w:style w:type="paragraph" w:styleId="Kommentarer">
    <w:name w:val="annotation text"/>
    <w:basedOn w:val="Normal"/>
    <w:link w:val="KommentarerChar"/>
    <w:uiPriority w:val="99"/>
    <w:semiHidden/>
    <w:unhideWhenUsed/>
    <w:rsid w:val="00D33E5C"/>
    <w:pPr>
      <w:spacing w:line="240" w:lineRule="auto"/>
    </w:pPr>
    <w:rPr>
      <w:sz w:val="20"/>
      <w:szCs w:val="20"/>
    </w:rPr>
  </w:style>
  <w:style w:type="character" w:customStyle="1" w:styleId="KommentarerChar">
    <w:name w:val="Kommentarer Char"/>
    <w:basedOn w:val="Standardstycketeckensnitt"/>
    <w:link w:val="Kommentarer"/>
    <w:uiPriority w:val="99"/>
    <w:semiHidden/>
    <w:rsid w:val="00D33E5C"/>
    <w:rPr>
      <w:sz w:val="20"/>
      <w:szCs w:val="20"/>
    </w:rPr>
  </w:style>
  <w:style w:type="paragraph" w:styleId="Kommentarsmne">
    <w:name w:val="annotation subject"/>
    <w:basedOn w:val="Kommentarer"/>
    <w:next w:val="Kommentarer"/>
    <w:link w:val="KommentarsmneChar"/>
    <w:uiPriority w:val="99"/>
    <w:semiHidden/>
    <w:unhideWhenUsed/>
    <w:rsid w:val="00D33E5C"/>
    <w:rPr>
      <w:b/>
      <w:bCs/>
    </w:rPr>
  </w:style>
  <w:style w:type="character" w:customStyle="1" w:styleId="KommentarsmneChar">
    <w:name w:val="Kommentarsämne Char"/>
    <w:basedOn w:val="KommentarerChar"/>
    <w:link w:val="Kommentarsmne"/>
    <w:uiPriority w:val="99"/>
    <w:semiHidden/>
    <w:rsid w:val="00D33E5C"/>
    <w:rPr>
      <w:b/>
      <w:bCs/>
      <w:sz w:val="20"/>
      <w:szCs w:val="20"/>
    </w:rPr>
  </w:style>
  <w:style w:type="paragraph" w:styleId="Ballongtext">
    <w:name w:val="Balloon Text"/>
    <w:basedOn w:val="Normal"/>
    <w:link w:val="BallongtextChar"/>
    <w:uiPriority w:val="99"/>
    <w:semiHidden/>
    <w:unhideWhenUsed/>
    <w:rsid w:val="00D33E5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3E5C"/>
    <w:rPr>
      <w:rFonts w:ascii="Segoe UI" w:hAnsi="Segoe UI" w:cs="Segoe UI"/>
      <w:sz w:val="18"/>
      <w:szCs w:val="18"/>
    </w:rPr>
  </w:style>
  <w:style w:type="paragraph" w:styleId="Fotnotstext">
    <w:name w:val="footnote text"/>
    <w:basedOn w:val="Normal"/>
    <w:link w:val="FotnotstextChar"/>
    <w:uiPriority w:val="99"/>
    <w:semiHidden/>
    <w:unhideWhenUsed/>
    <w:rsid w:val="0003020A"/>
    <w:pPr>
      <w:spacing w:line="240" w:lineRule="auto"/>
    </w:pPr>
    <w:rPr>
      <w:sz w:val="20"/>
      <w:szCs w:val="20"/>
    </w:rPr>
  </w:style>
  <w:style w:type="character" w:customStyle="1" w:styleId="FotnotstextChar">
    <w:name w:val="Fotnotstext Char"/>
    <w:basedOn w:val="Standardstycketeckensnitt"/>
    <w:link w:val="Fotnotstext"/>
    <w:uiPriority w:val="99"/>
    <w:semiHidden/>
    <w:rsid w:val="0003020A"/>
    <w:rPr>
      <w:sz w:val="20"/>
      <w:szCs w:val="20"/>
    </w:rPr>
  </w:style>
  <w:style w:type="character" w:styleId="Fotnotsreferens">
    <w:name w:val="footnote reference"/>
    <w:basedOn w:val="Standardstycketeckensnitt"/>
    <w:uiPriority w:val="99"/>
    <w:semiHidden/>
    <w:unhideWhenUsed/>
    <w:rsid w:val="0003020A"/>
    <w:rPr>
      <w:vertAlign w:val="superscript"/>
    </w:rPr>
  </w:style>
  <w:style w:type="paragraph" w:customStyle="1" w:styleId="SingleTxtG">
    <w:name w:val="_ Single Txt_G"/>
    <w:basedOn w:val="Normal"/>
    <w:link w:val="SingleTxtGChar"/>
    <w:qFormat/>
    <w:rsid w:val="004872A1"/>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Standardstycketeckensnitt"/>
    <w:link w:val="SingleTxtG"/>
    <w:rsid w:val="004872A1"/>
    <w:rPr>
      <w:rFonts w:ascii="Times New Roman" w:eastAsia="SimSu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12922">
      <w:bodyDiv w:val="1"/>
      <w:marLeft w:val="0"/>
      <w:marRight w:val="0"/>
      <w:marTop w:val="0"/>
      <w:marBottom w:val="0"/>
      <w:divBdr>
        <w:top w:val="none" w:sz="0" w:space="0" w:color="auto"/>
        <w:left w:val="none" w:sz="0" w:space="0" w:color="auto"/>
        <w:bottom w:val="none" w:sz="0" w:space="0" w:color="auto"/>
        <w:right w:val="none" w:sz="0" w:space="0" w:color="auto"/>
      </w:divBdr>
    </w:div>
    <w:div w:id="1176312202">
      <w:bodyDiv w:val="1"/>
      <w:marLeft w:val="0"/>
      <w:marRight w:val="0"/>
      <w:marTop w:val="0"/>
      <w:marBottom w:val="0"/>
      <w:divBdr>
        <w:top w:val="none" w:sz="0" w:space="0" w:color="auto"/>
        <w:left w:val="none" w:sz="0" w:space="0" w:color="auto"/>
        <w:bottom w:val="none" w:sz="0" w:space="0" w:color="auto"/>
        <w:right w:val="none" w:sz="0" w:space="0" w:color="auto"/>
      </w:divBdr>
    </w:div>
    <w:div w:id="1211072398">
      <w:bodyDiv w:val="1"/>
      <w:marLeft w:val="0"/>
      <w:marRight w:val="0"/>
      <w:marTop w:val="0"/>
      <w:marBottom w:val="0"/>
      <w:divBdr>
        <w:top w:val="none" w:sz="0" w:space="0" w:color="auto"/>
        <w:left w:val="none" w:sz="0" w:space="0" w:color="auto"/>
        <w:bottom w:val="none" w:sz="0" w:space="0" w:color="auto"/>
        <w:right w:val="none" w:sz="0" w:space="0" w:color="auto"/>
      </w:divBdr>
    </w:div>
    <w:div w:id="1438066366">
      <w:bodyDiv w:val="1"/>
      <w:marLeft w:val="0"/>
      <w:marRight w:val="0"/>
      <w:marTop w:val="0"/>
      <w:marBottom w:val="0"/>
      <w:divBdr>
        <w:top w:val="none" w:sz="0" w:space="0" w:color="auto"/>
        <w:left w:val="none" w:sz="0" w:space="0" w:color="auto"/>
        <w:bottom w:val="none" w:sz="0" w:space="0" w:color="auto"/>
        <w:right w:val="none" w:sz="0" w:space="0" w:color="auto"/>
      </w:divBdr>
    </w:div>
    <w:div w:id="1438335390">
      <w:bodyDiv w:val="1"/>
      <w:marLeft w:val="0"/>
      <w:marRight w:val="0"/>
      <w:marTop w:val="0"/>
      <w:marBottom w:val="0"/>
      <w:divBdr>
        <w:top w:val="none" w:sz="0" w:space="0" w:color="auto"/>
        <w:left w:val="none" w:sz="0" w:space="0" w:color="auto"/>
        <w:bottom w:val="none" w:sz="0" w:space="0" w:color="auto"/>
        <w:right w:val="none" w:sz="0" w:space="0" w:color="auto"/>
      </w:divBdr>
    </w:div>
    <w:div w:id="1765802476">
      <w:bodyDiv w:val="1"/>
      <w:marLeft w:val="0"/>
      <w:marRight w:val="0"/>
      <w:marTop w:val="0"/>
      <w:marBottom w:val="0"/>
      <w:divBdr>
        <w:top w:val="none" w:sz="0" w:space="0" w:color="auto"/>
        <w:left w:val="none" w:sz="0" w:space="0" w:color="auto"/>
        <w:bottom w:val="none" w:sz="0" w:space="0" w:color="auto"/>
        <w:right w:val="none" w:sz="0" w:space="0" w:color="auto"/>
      </w:divBdr>
    </w:div>
    <w:div w:id="191550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OProtocol_en.pdf" TargetMode="External"/><Relationship Id="rId13" Type="http://schemas.openxmlformats.org/officeDocument/2006/relationships/hyperlink" Target="https://tbinternet.ohchr.org/_layouts/15/treatybodyexternal/Download.aspx?symbolno=E%2FC.12%2FGC%2F18&amp;Lang=en" TargetMode="External"/><Relationship Id="rId18" Type="http://schemas.openxmlformats.org/officeDocument/2006/relationships/hyperlink" Target="https://www.ohchr.org/sites/default/files/cesc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binternet.ohchr.org/_layouts/15/treatybodyexternal/Download.aspx?symbolno=E%2FC.12%2FGC%2F20&amp;Lang=en" TargetMode="External"/><Relationship Id="rId17" Type="http://schemas.openxmlformats.org/officeDocument/2006/relationships/hyperlink" Target="https://tbinternet.ohchr.org/_layouts/15/treatybodyexternal/Download.aspx?symbolno=E%2FC.12%2FSWE%2FCO%2F7&amp;Lang=en" TargetMode="External"/><Relationship Id="rId2" Type="http://schemas.openxmlformats.org/officeDocument/2006/relationships/numbering" Target="numbering.xml"/><Relationship Id="rId16" Type="http://schemas.openxmlformats.org/officeDocument/2006/relationships/hyperlink" Target="https://digitallibrary.un.org/record/3856956?v=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binternet.ohchr.org/_layouts/15/treatybodyexternal/Download.aspx?symbolno=E%2FC.12%2FGC%2F24&amp;Lang=en" TargetMode="External"/><Relationship Id="rId5" Type="http://schemas.openxmlformats.org/officeDocument/2006/relationships/webSettings" Target="webSettings.xml"/><Relationship Id="rId15" Type="http://schemas.openxmlformats.org/officeDocument/2006/relationships/hyperlink" Target="https://tbinternet.ohchr.org/_layouts/15/treatybodyexternal/Download.aspx?symbolno=E%2FC.12%2F2000%2F4&amp;Lang=en" TargetMode="External"/><Relationship Id="rId10" Type="http://schemas.openxmlformats.org/officeDocument/2006/relationships/hyperlink" Target="https://tbinternet.ohchr.org/_layouts/15/treatybodyexternal/Download.aspx?symbolno=E%2FC.12%2F1998%2F25&amp;Lang=en" TargetMode="External"/><Relationship Id="rId19" Type="http://schemas.openxmlformats.org/officeDocument/2006/relationships/hyperlink" Target="https://www.regeringen.se/globalassets/regeringen/bilder/kulturdepartementet/demokrati-och-mr/mr-sidorna/fns-konventioner-om-manskliga-rattigheter.pdf" TargetMode="External"/><Relationship Id="rId4" Type="http://schemas.openxmlformats.org/officeDocument/2006/relationships/settings" Target="settings.xml"/><Relationship Id="rId9" Type="http://schemas.openxmlformats.org/officeDocument/2006/relationships/hyperlink" Target="https://digitallibrary.un.org/record/180217?v=pdf" TargetMode="External"/><Relationship Id="rId14" Type="http://schemas.openxmlformats.org/officeDocument/2006/relationships/hyperlink" Target="https://tbinternet.ohchr.org/_layouts/15/treatybodyexternal/Download.aspx?symbolno=E%2FC.12%2FGC%2F23&amp;Lang=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igitallibrary.un.org/record/1651395?v=pdf" TargetMode="External"/><Relationship Id="rId1" Type="http://schemas.openxmlformats.org/officeDocument/2006/relationships/hyperlink" Target="https://digitallibrary.un.org/record/1651395?v=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Sensus">
      <a:dk1>
        <a:sysClr val="windowText" lastClr="000000"/>
      </a:dk1>
      <a:lt1>
        <a:sysClr val="window" lastClr="FFFFFF"/>
      </a:lt1>
      <a:dk2>
        <a:srgbClr val="44546A"/>
      </a:dk2>
      <a:lt2>
        <a:srgbClr val="E7E6E6"/>
      </a:lt2>
      <a:accent1>
        <a:srgbClr val="AF1432"/>
      </a:accent1>
      <a:accent2>
        <a:srgbClr val="614188"/>
      </a:accent2>
      <a:accent3>
        <a:srgbClr val="2087B1"/>
      </a:accent3>
      <a:accent4>
        <a:srgbClr val="83A81C"/>
      </a:accent4>
      <a:accent5>
        <a:srgbClr val="ECB421"/>
      </a:accent5>
      <a:accent6>
        <a:srgbClr val="666666"/>
      </a:accent6>
      <a:hlink>
        <a:srgbClr val="0563C1"/>
      </a:hlink>
      <a:folHlink>
        <a:srgbClr val="954F72"/>
      </a:folHlink>
    </a:clrScheme>
    <a:fontScheme name="Sensu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C962E-9FCA-456E-A556-BC539F5F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11</Pages>
  <Words>3663</Words>
  <Characters>19419</Characters>
  <Application>Microsoft Office Word</Application>
  <DocSecurity>0</DocSecurity>
  <Lines>161</Lines>
  <Paragraphs>46</Paragraphs>
  <ScaleCrop>false</ScaleCrop>
  <HeadingPairs>
    <vt:vector size="2" baseType="variant">
      <vt:variant>
        <vt:lpstr>Rubrik</vt:lpstr>
      </vt:variant>
      <vt:variant>
        <vt:i4>1</vt:i4>
      </vt:variant>
    </vt:vector>
  </HeadingPairs>
  <TitlesOfParts>
    <vt:vector size="1" baseType="lpstr">
      <vt:lpstr/>
    </vt:vector>
  </TitlesOfParts>
  <Company>Sensus</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Vestling</dc:creator>
  <cp:keywords/>
  <dc:description/>
  <cp:lastModifiedBy>Mia Ahlgren</cp:lastModifiedBy>
  <cp:revision>45</cp:revision>
  <dcterms:created xsi:type="dcterms:W3CDTF">2024-06-11T10:38:00Z</dcterms:created>
  <dcterms:modified xsi:type="dcterms:W3CDTF">2024-06-12T08:57:00Z</dcterms:modified>
</cp:coreProperties>
</file>